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05E03" w14:textId="77777777" w:rsidR="00B35521" w:rsidRDefault="005D5884" w:rsidP="00B35521">
      <w:pPr>
        <w:pStyle w:val="Heading1"/>
      </w:pPr>
      <w:r w:rsidRPr="005D5884">
        <w:t>Journal Assignment #</w:t>
      </w:r>
      <w:r w:rsidR="0078619F">
        <w:t>3</w:t>
      </w:r>
      <w:r w:rsidR="00071F97">
        <w:t xml:space="preserve"> - </w:t>
      </w:r>
      <w:r w:rsidR="0078619F" w:rsidRPr="0078619F">
        <w:t>My Leadership Growth Potential</w:t>
      </w:r>
    </w:p>
    <w:p w14:paraId="0F023CAE" w14:textId="77777777" w:rsidR="00234B9A" w:rsidRDefault="00234B9A" w:rsidP="00234B9A">
      <w:pPr>
        <w:pStyle w:val="Heading1"/>
      </w:pPr>
      <w:r>
        <w:t>What I Didn't See</w:t>
      </w:r>
    </w:p>
    <w:p w14:paraId="7E333456" w14:textId="77777777" w:rsidR="008710E6" w:rsidRDefault="008710E6" w:rsidP="00234B9A">
      <w:pPr>
        <w:pStyle w:val="Heading1"/>
        <w:rPr>
          <w:rFonts w:asciiTheme="minorHAnsi" w:eastAsiaTheme="minorEastAsia" w:hAnsiTheme="minorHAnsi" w:cstheme="minorBidi"/>
          <w:b w:val="0"/>
          <w:bCs w:val="0"/>
          <w:u w:val="none"/>
        </w:rPr>
      </w:pPr>
      <w:r w:rsidRPr="008710E6">
        <w:rPr>
          <w:rFonts w:asciiTheme="minorHAnsi" w:eastAsiaTheme="minorEastAsia" w:hAnsiTheme="minorHAnsi" w:cstheme="minorBidi"/>
          <w:b w:val="0"/>
          <w:bCs w:val="0"/>
          <w:u w:val="none"/>
        </w:rPr>
        <w:t>Throughout much of my career, I believed my leadership potential would naturally grow alongside my experience and technical expertise. Earlier leadership roles reinforced that belief because professional credibility often enabled me to influence decisions and deliver successful outcomes. That assumption was challenged when I joined Oxford Nanopore Technologies as a consultant to establish compliant validation practices as the organisation expanded from academic research into regulated biopharmaceutical manufacturing. Although I brought significant regulatory experience, I quickly realised that credibility might open the door, but it would not create influence. Looking back, I had confused being respected for what I knew with being able to lead people through change. Recognising that distinction became the starting point for my leadership growth.</w:t>
      </w:r>
    </w:p>
    <w:p w14:paraId="6ED06309" w14:textId="111C1A8C" w:rsidR="00234B9A" w:rsidRDefault="00234B9A" w:rsidP="00234B9A">
      <w:pPr>
        <w:pStyle w:val="Heading1"/>
      </w:pPr>
      <w:r>
        <w:t>What Oxford Nanopore Taught Me</w:t>
      </w:r>
    </w:p>
    <w:p w14:paraId="53CB6B83" w14:textId="77777777" w:rsidR="008710E6" w:rsidRDefault="008710E6" w:rsidP="00234B9A">
      <w:pPr>
        <w:pStyle w:val="Heading1"/>
        <w:rPr>
          <w:rFonts w:asciiTheme="minorHAnsi" w:eastAsiaTheme="minorEastAsia" w:hAnsiTheme="minorHAnsi" w:cstheme="minorBidi"/>
          <w:b w:val="0"/>
          <w:bCs w:val="0"/>
          <w:u w:val="none"/>
        </w:rPr>
      </w:pPr>
      <w:r w:rsidRPr="008710E6">
        <w:rPr>
          <w:rFonts w:asciiTheme="minorHAnsi" w:eastAsiaTheme="minorEastAsia" w:hAnsiTheme="minorHAnsi" w:cstheme="minorBidi"/>
          <w:b w:val="0"/>
          <w:bCs w:val="0"/>
          <w:u w:val="none"/>
        </w:rPr>
        <w:t>My role required me to influence scientists, software developers, manufacturing teams, quality professionals and senior leaders, none of whom reported to me. Initially, I expected evidence-based recommendations to be accepted because they reflected established principles and years of industry experience. Instead, I found experienced specialists who wanted to understand, challenge and shape every proposal before committing to change. I soon realised that my role was not to convince people that I was right, but to create the conditions in which they could reach the same conclusion themselves. Rather than pushing harder, I recalibrated my approach by listening more carefully, providing evidence, encouraging discussion and allowing stakeholders to develop ownership of the solutions. Feedback from my executive sponsor reinforced that lasting change depended less on having the right answer than on helping others develop confidence in it. Over time, I developed guidance, trained teams and supported major client audits, gradually seeing stakeholders become advocates for approaches they had initially challenged. The experience taught me that sustainable change comes from shared ownership rather than expert persuasion.</w:t>
      </w:r>
    </w:p>
    <w:p w14:paraId="45D31FA3" w14:textId="06144C9A" w:rsidR="00234B9A" w:rsidRDefault="00234B9A" w:rsidP="00234B9A">
      <w:pPr>
        <w:pStyle w:val="Heading1"/>
      </w:pPr>
      <w:r>
        <w:t>How My Leadership Changed</w:t>
      </w:r>
    </w:p>
    <w:p w14:paraId="4159587E" w14:textId="77777777" w:rsidR="008710E6" w:rsidRDefault="008710E6" w:rsidP="00234B9A">
      <w:pPr>
        <w:pStyle w:val="Heading1"/>
        <w:rPr>
          <w:rFonts w:asciiTheme="minorHAnsi" w:eastAsiaTheme="minorEastAsia" w:hAnsiTheme="minorHAnsi" w:cstheme="minorBidi"/>
          <w:b w:val="0"/>
          <w:bCs w:val="0"/>
          <w:u w:val="none"/>
        </w:rPr>
      </w:pPr>
      <w:r w:rsidRPr="008710E6">
        <w:rPr>
          <w:rFonts w:asciiTheme="minorHAnsi" w:eastAsiaTheme="minorEastAsia" w:hAnsiTheme="minorHAnsi" w:cstheme="minorBidi"/>
          <w:b w:val="0"/>
          <w:bCs w:val="0"/>
          <w:u w:val="none"/>
        </w:rPr>
        <w:t>Looking back, I now recognise this experience through the lenses of complexity leadership, distributed leadership and power-with leadership, where influence emerges through collaboration rather than hierarchy. These concepts explained why my initial approach was less effective. My executive sponsor, the Global Head of Quality, became an important leadership role model, demonstrating that commitment is built through patience, dialogue and shared ownership rather than compliance alone. His confidence gave me the discipline to resist solving every disagreement myself. I came to realise that what I initially interpreted as resistance usually reflected a need to test ideas, understand their implications and develop confidence in the proposed direction. Recognising this distinction changed how I lead difficult conversations.</w:t>
      </w:r>
    </w:p>
    <w:p w14:paraId="53EF140E" w14:textId="002C5F86" w:rsidR="00234B9A" w:rsidRDefault="00234B9A" w:rsidP="00234B9A">
      <w:pPr>
        <w:pStyle w:val="Heading1"/>
      </w:pPr>
      <w:r>
        <w:t>The Leader I'm Becoming</w:t>
      </w:r>
    </w:p>
    <w:p w14:paraId="47CF00E0" w14:textId="631A1570" w:rsidR="005D5884" w:rsidRPr="005D5884" w:rsidRDefault="008710E6" w:rsidP="00936303">
      <w:r w:rsidRPr="008710E6">
        <w:t>Perhaps the greatest lesson was that I judge my leadership by the capability I leave behind rather than the dependence I create. Whether leading teams or consulting, I want people to leave with the confidence, knowledge and systems to succeed without my continued involvement. Oxford Nanopore taught me that influence must be earned in every new organisation, regardless of previous achievements. While I now value listening, collaboration and shared ownership, my continued development depends on becoming more patient when introducing change and more attentive to the concerns behind initial resistance. Developing these qualities will strengthen my ability to influence organisations not simply through expertise, but by helping others embrace lasting change.</w:t>
      </w:r>
    </w:p>
    <w:sectPr w:rsidR="005D5884" w:rsidRPr="005D5884" w:rsidSect="00C52990">
      <w:pgSz w:w="11900" w:h="16840" w:code="9"/>
      <w:pgMar w:top="851" w:right="1077" w:bottom="1440" w:left="1077" w:header="142" w:footer="720"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652CA0" w14:textId="77777777" w:rsidR="00EF6A4D" w:rsidRDefault="00EF6A4D" w:rsidP="006761B1">
      <w:pPr>
        <w:spacing w:after="0" w:line="240" w:lineRule="auto"/>
      </w:pPr>
      <w:r>
        <w:separator/>
      </w:r>
    </w:p>
  </w:endnote>
  <w:endnote w:type="continuationSeparator" w:id="0">
    <w:p w14:paraId="3D4CA7E7" w14:textId="77777777" w:rsidR="00EF6A4D" w:rsidRDefault="00EF6A4D" w:rsidP="00676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E7BD6" w14:textId="77777777" w:rsidR="00EF6A4D" w:rsidRDefault="00EF6A4D" w:rsidP="006761B1">
      <w:pPr>
        <w:spacing w:after="0" w:line="240" w:lineRule="auto"/>
      </w:pPr>
      <w:r>
        <w:separator/>
      </w:r>
    </w:p>
  </w:footnote>
  <w:footnote w:type="continuationSeparator" w:id="0">
    <w:p w14:paraId="3776D691" w14:textId="77777777" w:rsidR="00EF6A4D" w:rsidRDefault="00EF6A4D" w:rsidP="006761B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615"/>
    <w:rsid w:val="00046515"/>
    <w:rsid w:val="00071F97"/>
    <w:rsid w:val="000B3E75"/>
    <w:rsid w:val="00100DBC"/>
    <w:rsid w:val="0010657A"/>
    <w:rsid w:val="00163E4A"/>
    <w:rsid w:val="00193B28"/>
    <w:rsid w:val="001944D4"/>
    <w:rsid w:val="001B350C"/>
    <w:rsid w:val="001F7C10"/>
    <w:rsid w:val="00234B9A"/>
    <w:rsid w:val="002455EB"/>
    <w:rsid w:val="00262D74"/>
    <w:rsid w:val="002C25E7"/>
    <w:rsid w:val="00374DEF"/>
    <w:rsid w:val="00384EE1"/>
    <w:rsid w:val="004042C8"/>
    <w:rsid w:val="00410AF6"/>
    <w:rsid w:val="00423D32"/>
    <w:rsid w:val="00437477"/>
    <w:rsid w:val="004500A5"/>
    <w:rsid w:val="00496702"/>
    <w:rsid w:val="00497570"/>
    <w:rsid w:val="004E3D1C"/>
    <w:rsid w:val="004F77C4"/>
    <w:rsid w:val="00540B8A"/>
    <w:rsid w:val="005D5884"/>
    <w:rsid w:val="006077F2"/>
    <w:rsid w:val="00622615"/>
    <w:rsid w:val="006761B1"/>
    <w:rsid w:val="00685FEB"/>
    <w:rsid w:val="006E38DC"/>
    <w:rsid w:val="007147C9"/>
    <w:rsid w:val="0072418B"/>
    <w:rsid w:val="007242FB"/>
    <w:rsid w:val="0073352C"/>
    <w:rsid w:val="00785E08"/>
    <w:rsid w:val="0078619F"/>
    <w:rsid w:val="007F0686"/>
    <w:rsid w:val="008710E6"/>
    <w:rsid w:val="008C74BB"/>
    <w:rsid w:val="008F734E"/>
    <w:rsid w:val="00936303"/>
    <w:rsid w:val="00A42B46"/>
    <w:rsid w:val="00A86DB3"/>
    <w:rsid w:val="00A930B9"/>
    <w:rsid w:val="00B35521"/>
    <w:rsid w:val="00BD65D9"/>
    <w:rsid w:val="00C365D3"/>
    <w:rsid w:val="00C52990"/>
    <w:rsid w:val="00C553C9"/>
    <w:rsid w:val="00C859CA"/>
    <w:rsid w:val="00CE5530"/>
    <w:rsid w:val="00D668F4"/>
    <w:rsid w:val="00DC4E9C"/>
    <w:rsid w:val="00E401D7"/>
    <w:rsid w:val="00E62643"/>
    <w:rsid w:val="00E67DC7"/>
    <w:rsid w:val="00E83FCF"/>
    <w:rsid w:val="00E858BC"/>
    <w:rsid w:val="00EB4433"/>
    <w:rsid w:val="00ED38F0"/>
    <w:rsid w:val="00EF6A4D"/>
    <w:rsid w:val="00F16BB8"/>
    <w:rsid w:val="00F37228"/>
    <w:rsid w:val="00FC7E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5AF2B"/>
  <w15:chartTrackingRefBased/>
  <w15:docId w15:val="{32EED1AE-1F2F-4128-B565-1236B0003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7F2"/>
    <w:pPr>
      <w:outlineLvl w:val="0"/>
    </w:pPr>
    <w:rPr>
      <w:rFonts w:ascii="Calibri" w:hAnsi="Calibri" w:cs="Calibri"/>
      <w:b/>
      <w:bCs/>
      <w:u w:val="single"/>
    </w:rPr>
  </w:style>
  <w:style w:type="paragraph" w:styleId="Heading2">
    <w:name w:val="heading 2"/>
    <w:basedOn w:val="Normal"/>
    <w:next w:val="Normal"/>
    <w:link w:val="Heading2Char"/>
    <w:uiPriority w:val="9"/>
    <w:unhideWhenUsed/>
    <w:qFormat/>
    <w:rsid w:val="006077F2"/>
    <w:pPr>
      <w:outlineLvl w:val="1"/>
    </w:pPr>
    <w:rPr>
      <w:rFonts w:ascii="Calibri" w:hAnsi="Calibri" w:cs="Calibri"/>
      <w:b/>
      <w:bCs/>
    </w:rPr>
  </w:style>
  <w:style w:type="paragraph" w:styleId="Heading3">
    <w:name w:val="heading 3"/>
    <w:basedOn w:val="Normal"/>
    <w:next w:val="Normal"/>
    <w:link w:val="Heading3Char"/>
    <w:uiPriority w:val="9"/>
    <w:semiHidden/>
    <w:unhideWhenUsed/>
    <w:qFormat/>
    <w:rsid w:val="006226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26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6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7F2"/>
    <w:rPr>
      <w:rFonts w:ascii="Calibri" w:hAnsi="Calibri" w:cs="Calibri"/>
      <w:b/>
      <w:bCs/>
      <w:u w:val="single"/>
    </w:rPr>
  </w:style>
  <w:style w:type="character" w:customStyle="1" w:styleId="Heading2Char">
    <w:name w:val="Heading 2 Char"/>
    <w:basedOn w:val="DefaultParagraphFont"/>
    <w:link w:val="Heading2"/>
    <w:uiPriority w:val="9"/>
    <w:rsid w:val="006077F2"/>
    <w:rPr>
      <w:rFonts w:ascii="Calibri" w:hAnsi="Calibri" w:cs="Calibri"/>
      <w:b/>
      <w:bCs/>
    </w:rPr>
  </w:style>
  <w:style w:type="character" w:customStyle="1" w:styleId="Heading3Char">
    <w:name w:val="Heading 3 Char"/>
    <w:basedOn w:val="DefaultParagraphFont"/>
    <w:link w:val="Heading3"/>
    <w:uiPriority w:val="9"/>
    <w:semiHidden/>
    <w:rsid w:val="006226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26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6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615"/>
    <w:rPr>
      <w:rFonts w:eastAsiaTheme="majorEastAsia" w:cstheme="majorBidi"/>
      <w:color w:val="272727" w:themeColor="text1" w:themeTint="D8"/>
    </w:rPr>
  </w:style>
  <w:style w:type="paragraph" w:styleId="Title">
    <w:name w:val="Title"/>
    <w:basedOn w:val="Normal"/>
    <w:next w:val="Normal"/>
    <w:link w:val="TitleChar"/>
    <w:uiPriority w:val="10"/>
    <w:qFormat/>
    <w:rsid w:val="006226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6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2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2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2615"/>
    <w:pPr>
      <w:spacing w:before="160"/>
      <w:jc w:val="center"/>
    </w:pPr>
    <w:rPr>
      <w:i/>
      <w:iCs/>
      <w:color w:val="404040" w:themeColor="text1" w:themeTint="BF"/>
    </w:rPr>
  </w:style>
  <w:style w:type="character" w:customStyle="1" w:styleId="QuoteChar">
    <w:name w:val="Quote Char"/>
    <w:basedOn w:val="DefaultParagraphFont"/>
    <w:link w:val="Quote"/>
    <w:uiPriority w:val="29"/>
    <w:rsid w:val="00622615"/>
    <w:rPr>
      <w:i/>
      <w:iCs/>
      <w:color w:val="404040" w:themeColor="text1" w:themeTint="BF"/>
    </w:rPr>
  </w:style>
  <w:style w:type="paragraph" w:styleId="ListParagraph">
    <w:name w:val="List Paragraph"/>
    <w:basedOn w:val="Normal"/>
    <w:uiPriority w:val="34"/>
    <w:qFormat/>
    <w:rsid w:val="00622615"/>
    <w:pPr>
      <w:ind w:left="720"/>
      <w:contextualSpacing/>
    </w:pPr>
  </w:style>
  <w:style w:type="character" w:styleId="IntenseEmphasis">
    <w:name w:val="Intense Emphasis"/>
    <w:basedOn w:val="DefaultParagraphFont"/>
    <w:uiPriority w:val="21"/>
    <w:qFormat/>
    <w:rsid w:val="00622615"/>
    <w:rPr>
      <w:i/>
      <w:iCs/>
      <w:color w:val="0F4761" w:themeColor="accent1" w:themeShade="BF"/>
    </w:rPr>
  </w:style>
  <w:style w:type="paragraph" w:styleId="IntenseQuote">
    <w:name w:val="Intense Quote"/>
    <w:basedOn w:val="Normal"/>
    <w:next w:val="Normal"/>
    <w:link w:val="IntenseQuoteChar"/>
    <w:uiPriority w:val="30"/>
    <w:qFormat/>
    <w:rsid w:val="006226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615"/>
    <w:rPr>
      <w:i/>
      <w:iCs/>
      <w:color w:val="0F4761" w:themeColor="accent1" w:themeShade="BF"/>
    </w:rPr>
  </w:style>
  <w:style w:type="character" w:styleId="IntenseReference">
    <w:name w:val="Intense Reference"/>
    <w:basedOn w:val="DefaultParagraphFont"/>
    <w:uiPriority w:val="32"/>
    <w:qFormat/>
    <w:rsid w:val="00622615"/>
    <w:rPr>
      <w:b/>
      <w:bCs/>
      <w:smallCaps/>
      <w:color w:val="0F4761" w:themeColor="accent1" w:themeShade="BF"/>
      <w:spacing w:val="5"/>
    </w:rPr>
  </w:style>
  <w:style w:type="paragraph" w:styleId="Bibliography">
    <w:name w:val="Bibliography"/>
    <w:basedOn w:val="Normal"/>
    <w:next w:val="Normal"/>
    <w:uiPriority w:val="37"/>
    <w:unhideWhenUsed/>
    <w:rsid w:val="00F16BB8"/>
  </w:style>
  <w:style w:type="paragraph" w:styleId="FootnoteText">
    <w:name w:val="footnote text"/>
    <w:basedOn w:val="Normal"/>
    <w:link w:val="FootnoteTextChar"/>
    <w:uiPriority w:val="99"/>
    <w:semiHidden/>
    <w:unhideWhenUsed/>
    <w:rsid w:val="006761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61B1"/>
    <w:rPr>
      <w:sz w:val="20"/>
      <w:szCs w:val="20"/>
    </w:rPr>
  </w:style>
  <w:style w:type="character" w:styleId="FootnoteReference">
    <w:name w:val="footnote reference"/>
    <w:basedOn w:val="DefaultParagraphFont"/>
    <w:uiPriority w:val="99"/>
    <w:semiHidden/>
    <w:unhideWhenUsed/>
    <w:rsid w:val="006761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48918">
      <w:bodyDiv w:val="1"/>
      <w:marLeft w:val="0"/>
      <w:marRight w:val="0"/>
      <w:marTop w:val="0"/>
      <w:marBottom w:val="0"/>
      <w:divBdr>
        <w:top w:val="none" w:sz="0" w:space="0" w:color="auto"/>
        <w:left w:val="none" w:sz="0" w:space="0" w:color="auto"/>
        <w:bottom w:val="none" w:sz="0" w:space="0" w:color="auto"/>
        <w:right w:val="none" w:sz="0" w:space="0" w:color="auto"/>
      </w:divBdr>
    </w:div>
    <w:div w:id="271785621">
      <w:bodyDiv w:val="1"/>
      <w:marLeft w:val="0"/>
      <w:marRight w:val="0"/>
      <w:marTop w:val="0"/>
      <w:marBottom w:val="0"/>
      <w:divBdr>
        <w:top w:val="none" w:sz="0" w:space="0" w:color="auto"/>
        <w:left w:val="none" w:sz="0" w:space="0" w:color="auto"/>
        <w:bottom w:val="none" w:sz="0" w:space="0" w:color="auto"/>
        <w:right w:val="none" w:sz="0" w:space="0" w:color="auto"/>
      </w:divBdr>
    </w:div>
    <w:div w:id="595678124">
      <w:bodyDiv w:val="1"/>
      <w:marLeft w:val="0"/>
      <w:marRight w:val="0"/>
      <w:marTop w:val="0"/>
      <w:marBottom w:val="0"/>
      <w:divBdr>
        <w:top w:val="none" w:sz="0" w:space="0" w:color="auto"/>
        <w:left w:val="none" w:sz="0" w:space="0" w:color="auto"/>
        <w:bottom w:val="none" w:sz="0" w:space="0" w:color="auto"/>
        <w:right w:val="none" w:sz="0" w:space="0" w:color="auto"/>
      </w:divBdr>
    </w:div>
    <w:div w:id="629481130">
      <w:bodyDiv w:val="1"/>
      <w:marLeft w:val="0"/>
      <w:marRight w:val="0"/>
      <w:marTop w:val="0"/>
      <w:marBottom w:val="0"/>
      <w:divBdr>
        <w:top w:val="none" w:sz="0" w:space="0" w:color="auto"/>
        <w:left w:val="none" w:sz="0" w:space="0" w:color="auto"/>
        <w:bottom w:val="none" w:sz="0" w:space="0" w:color="auto"/>
        <w:right w:val="none" w:sz="0" w:space="0" w:color="auto"/>
      </w:divBdr>
    </w:div>
    <w:div w:id="698623664">
      <w:bodyDiv w:val="1"/>
      <w:marLeft w:val="0"/>
      <w:marRight w:val="0"/>
      <w:marTop w:val="0"/>
      <w:marBottom w:val="0"/>
      <w:divBdr>
        <w:top w:val="none" w:sz="0" w:space="0" w:color="auto"/>
        <w:left w:val="none" w:sz="0" w:space="0" w:color="auto"/>
        <w:bottom w:val="none" w:sz="0" w:space="0" w:color="auto"/>
        <w:right w:val="none" w:sz="0" w:space="0" w:color="auto"/>
      </w:divBdr>
    </w:div>
    <w:div w:id="1203059454">
      <w:bodyDiv w:val="1"/>
      <w:marLeft w:val="0"/>
      <w:marRight w:val="0"/>
      <w:marTop w:val="0"/>
      <w:marBottom w:val="0"/>
      <w:divBdr>
        <w:top w:val="none" w:sz="0" w:space="0" w:color="auto"/>
        <w:left w:val="none" w:sz="0" w:space="0" w:color="auto"/>
        <w:bottom w:val="none" w:sz="0" w:space="0" w:color="auto"/>
        <w:right w:val="none" w:sz="0" w:space="0" w:color="auto"/>
      </w:divBdr>
    </w:div>
    <w:div w:id="1747724305">
      <w:bodyDiv w:val="1"/>
      <w:marLeft w:val="0"/>
      <w:marRight w:val="0"/>
      <w:marTop w:val="0"/>
      <w:marBottom w:val="0"/>
      <w:divBdr>
        <w:top w:val="none" w:sz="0" w:space="0" w:color="auto"/>
        <w:left w:val="none" w:sz="0" w:space="0" w:color="auto"/>
        <w:bottom w:val="none" w:sz="0" w:space="0" w:color="auto"/>
        <w:right w:val="none" w:sz="0" w:space="0" w:color="auto"/>
      </w:divBdr>
    </w:div>
    <w:div w:id="1991590154">
      <w:bodyDiv w:val="1"/>
      <w:marLeft w:val="0"/>
      <w:marRight w:val="0"/>
      <w:marTop w:val="0"/>
      <w:marBottom w:val="0"/>
      <w:divBdr>
        <w:top w:val="none" w:sz="0" w:space="0" w:color="auto"/>
        <w:left w:val="none" w:sz="0" w:space="0" w:color="auto"/>
        <w:bottom w:val="none" w:sz="0" w:space="0" w:color="auto"/>
        <w:right w:val="none" w:sz="0" w:space="0" w:color="auto"/>
      </w:divBdr>
    </w:div>
    <w:div w:id="199834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Int1</b:Tag>
    <b:SourceType>Book</b:SourceType>
    <b:Guid>{894DC8ED-BAB2-4628-9C41-38CB98837CE0}</b:Guid>
    <b:Author>
      <b:Author>
        <b:Corporate>International Society for Pharmaceutical Engineers (ISPE)</b:Corporate>
      </b:Author>
    </b:Author>
    <b:Title>GAMP® 5: A Risk-Based Approach to Compliant GxP Computerized Systems</b:Title>
    <b:Year>2022</b:Year>
    <b:City>Tampa</b:City>
    <b:Publisher>ISPE</b:Publisher>
    <b:Edition>2</b:Edition>
    <b:RefOrder>1</b:RefOrder>
  </b:Source>
</b:Sources>
</file>

<file path=customXml/itemProps1.xml><?xml version="1.0" encoding="utf-8"?>
<ds:datastoreItem xmlns:ds="http://schemas.openxmlformats.org/officeDocument/2006/customXml" ds:itemID="{0811AAE2-6891-436D-AA78-D96302548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Gillis</dc:creator>
  <cp:keywords/>
  <dc:description/>
  <cp:lastModifiedBy>Simon Gillis</cp:lastModifiedBy>
  <cp:revision>11</cp:revision>
  <cp:lastPrinted>2026-07-02T12:44:00Z</cp:lastPrinted>
  <dcterms:created xsi:type="dcterms:W3CDTF">2026-07-07T09:09:00Z</dcterms:created>
  <dcterms:modified xsi:type="dcterms:W3CDTF">2026-07-21T19:48:00Z</dcterms:modified>
</cp:coreProperties>
</file>