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center"/>
        <w:rPr>
          <w:rFonts w:ascii="Poppins" w:cs="Poppins" w:eastAsia="Poppins" w:hAnsi="Poppins"/>
          <w:b w:val="1"/>
          <w:color w:val="ec7b00"/>
          <w:sz w:val="56"/>
          <w:szCs w:val="56"/>
        </w:rPr>
      </w:pPr>
      <w:bookmarkStart w:colFirst="0" w:colLast="0" w:name="_uwtpzkmp9874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ec7b00"/>
          <w:sz w:val="56"/>
          <w:szCs w:val="56"/>
          <w:rtl w:val="0"/>
        </w:rPr>
        <w:t xml:space="preserve">PROPOSTA PEDAGÓGICA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b w:val="1"/>
          <w:color w:val="000000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34"/>
          <w:szCs w:val="34"/>
          <w:rtl w:val="0"/>
        </w:rPr>
        <w:t xml:space="preserve">FAROFINHA E O APAGÃO</w:t>
      </w:r>
    </w:p>
    <w:p w:rsidR="00000000" w:rsidDel="00000000" w:rsidP="00000000" w:rsidRDefault="00000000" w:rsidRPr="00000000" w14:paraId="00000003">
      <w:pPr>
        <w:pStyle w:val="Heading2"/>
        <w:ind w:firstLine="425.19685039370086"/>
        <w:rPr>
          <w:rFonts w:ascii="Poppins" w:cs="Poppins" w:eastAsia="Poppins" w:hAnsi="Poppins"/>
          <w:i w:val="1"/>
          <w:color w:val="000000"/>
          <w:sz w:val="24"/>
          <w:szCs w:val="24"/>
        </w:rPr>
      </w:pPr>
      <w:bookmarkStart w:colFirst="0" w:colLast="0" w:name="_yc8hovaayb7n" w:id="1"/>
      <w:bookmarkEnd w:id="1"/>
      <w:r w:rsidDel="00000000" w:rsidR="00000000" w:rsidRPr="00000000">
        <w:rPr>
          <w:rFonts w:ascii="Poppins" w:cs="Poppins" w:eastAsia="Poppins" w:hAnsi="Poppins"/>
          <w:b w:val="0"/>
          <w:i w:val="1"/>
          <w:color w:val="000000"/>
          <w:sz w:val="24"/>
          <w:szCs w:val="24"/>
          <w:rtl w:val="0"/>
        </w:rPr>
        <w:t xml:space="preserve">O livro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 FAROFINHA E O APAGÃO </w:t>
      </w:r>
      <w:r w:rsidDel="00000000" w:rsidR="00000000" w:rsidRPr="00000000">
        <w:rPr>
          <w:rFonts w:ascii="Poppins" w:cs="Poppins" w:eastAsia="Poppins" w:hAnsi="Poppins"/>
          <w:b w:val="0"/>
          <w:i w:val="1"/>
          <w:color w:val="000000"/>
          <w:sz w:val="24"/>
          <w:szCs w:val="24"/>
          <w:rtl w:val="0"/>
        </w:rPr>
        <w:t xml:space="preserve">pode ser utilizado como livro literário de leitura obrigatória para os alunos do 3º ao 5º ano do Ensino Fundamental - Anos Iniciais. O gênero textual do livro é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RELATO PESSOAL.</w:t>
      </w:r>
    </w:p>
    <w:p w:rsidR="00000000" w:rsidDel="00000000" w:rsidP="00000000" w:rsidRDefault="00000000" w:rsidRPr="00000000" w14:paraId="00000004">
      <w:pPr>
        <w:ind w:firstLine="425.19685039370086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Para fazer um 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projeto interdisciplinar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, o trabalho é indicado para as turmas de 3º ano - Ensino Fundamental I.</w:t>
      </w:r>
    </w:p>
    <w:p w:rsidR="00000000" w:rsidDel="00000000" w:rsidP="00000000" w:rsidRDefault="00000000" w:rsidRPr="00000000" w14:paraId="00000005">
      <w:pPr>
        <w:ind w:firstLine="425.19685039370086"/>
        <w:rPr>
          <w:rFonts w:ascii="Poppins" w:cs="Poppins" w:eastAsia="Poppins" w:hAnsi="Poppins"/>
          <w:i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ind w:left="425.19685039370086" w:hanging="360"/>
        <w:rPr>
          <w:rFonts w:ascii="Poppins" w:cs="Poppins" w:eastAsia="Poppins" w:hAnsi="Poppins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Na disciplina de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 LÍNGUA PORTUGUESA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 pode ser trabalhado nos seguintes temas:</w:t>
      </w:r>
    </w:p>
    <w:p w:rsidR="00000000" w:rsidDel="00000000" w:rsidP="00000000" w:rsidRDefault="00000000" w:rsidRPr="00000000" w14:paraId="00000007">
      <w:pPr>
        <w:ind w:firstLine="425.19685039370086"/>
        <w:rPr>
          <w:rFonts w:ascii="Poppins" w:cs="Poppins" w:eastAsia="Poppins" w:hAnsi="Poppins"/>
          <w:i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294.80314960629914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RELATO PESSOAL</w:t>
      </w:r>
    </w:p>
    <w:p w:rsidR="00000000" w:rsidDel="00000000" w:rsidP="00000000" w:rsidRDefault="00000000" w:rsidRPr="00000000" w14:paraId="00000009">
      <w:pPr>
        <w:ind w:left="720" w:firstLine="0"/>
        <w:rPr>
          <w:rFonts w:ascii="Poppins" w:cs="Poppins" w:eastAsia="Poppins" w:hAnsi="Poppins"/>
          <w:b w:val="1"/>
          <w:i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3"/>
        </w:numPr>
        <w:spacing w:after="75" w:before="0" w:line="240" w:lineRule="auto"/>
        <w:ind w:left="1440" w:hanging="360"/>
        <w:rPr>
          <w:rFonts w:ascii="Poppins" w:cs="Poppins" w:eastAsia="Poppins" w:hAnsi="Poppi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EF03LP09, EF03LP12, EF03LP13, EF03LP17, EF15LP02, EF35LP19.</w:t>
      </w:r>
    </w:p>
    <w:p w:rsidR="00000000" w:rsidDel="00000000" w:rsidP="00000000" w:rsidRDefault="00000000" w:rsidRPr="00000000" w14:paraId="0000000B">
      <w:pPr>
        <w:widowControl w:val="0"/>
        <w:spacing w:after="75" w:before="0" w:line="240" w:lineRule="auto"/>
        <w:ind w:left="1440" w:firstLine="0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055"/>
        <w:gridCol w:w="6180"/>
        <w:tblGridChange w:id="0">
          <w:tblGrid>
            <w:gridCol w:w="1410"/>
            <w:gridCol w:w="2055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40" w:before="40" w:line="240" w:lineRule="auto"/>
              <w:jc w:val="center"/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RELATO PESSOAL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Treinar a mente e o coração para ser um bom leitor e um bom ouvinte de relatos pessoais.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Saber escrever sem errar na concordância verbal e utilizar acentuação gráfica correta.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Produzir, contar e ouvir um relato pessoal.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EF03LP09 -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Identificar, em textos, adjetivos e sua função de atribuição de propriedades aos substantivos.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EF03LP12 -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Ler e compreender, com autonomia, cartas pessoais e diários, com expressão de sentimentos e opiniões, dentre outros gêneros do campo da vida cotidiana, de acordo com as convenções do gênero carta e considerando a situação comunicativa e o tema/assunto do texto.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EF03LP13 -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Planejar e produzir cartas pessoais e diários, com expressão de sentimentos e opiniões, dentre outros gêneros do campo da vida cotidiana, de acordo com as convenções dos gêneros carta e diário e considerando a situação comunicativa e o tema/assunto do texto.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EF03LP17 - 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Identificar e reproduzir, em gêneros epistolares e diários, a formatação própria desses textos (relatos de acontecimentos, expressão de vivências, emoções, opiniões ou críticas) e a diagramação específica dos textos desses gêneros (data, saudação, corpo do texto, despedida, assinatura).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EF15LP02 -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Estabelecer expectativas em relação ao texto que vai ler (pressuposições antecipadoras dos sentidos, da forma e da função social do texto), apoiando-se em seus conhecimentos prévios sobre as condições de produção e recepção desse texto, o gênero, o suporte e o universo temático, bem como sobre saliências textuais, recursos gráficos, imagens, dados da própria obra (índice, prefácio etc.), confirmando antecipações e inferências realizadas antes e durante a leitura de textos, checando a adequação das hipóteses realizadas.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EF35LP19 -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Recuperar as ideias principais em situações formais de escuta de exposições, apresentações e palestras.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before="0" w:line="240" w:lineRule="auto"/>
        <w:ind w:left="720" w:firstLine="0"/>
        <w:rPr>
          <w:rFonts w:ascii="Poppins" w:cs="Poppins" w:eastAsia="Poppins" w:hAnsi="Poppins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7"/>
        </w:numPr>
        <w:spacing w:before="0" w:line="240" w:lineRule="auto"/>
        <w:ind w:left="720" w:hanging="294.80314960629914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TEXTO INSTRUCIONAL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0"/>
          <w:szCs w:val="20"/>
          <w:rtl w:val="0"/>
        </w:rPr>
        <w:t xml:space="preserve">(p. 44 e 52 do livro)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before="0" w:line="240" w:lineRule="auto"/>
        <w:ind w:left="1440" w:hanging="360"/>
        <w:rPr>
          <w:rFonts w:ascii="Poppins" w:cs="Poppins" w:eastAsia="Poppins" w:hAnsi="Poppi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EF03LP11, EF03LP14, EF03LP16, EF15LP09.</w:t>
      </w:r>
    </w:p>
    <w:p w:rsidR="00000000" w:rsidDel="00000000" w:rsidP="00000000" w:rsidRDefault="00000000" w:rsidRPr="00000000" w14:paraId="0000001B">
      <w:pPr>
        <w:widowControl w:val="0"/>
        <w:spacing w:before="0" w:line="240" w:lineRule="auto"/>
        <w:ind w:left="720" w:firstLine="0"/>
        <w:rPr>
          <w:rFonts w:ascii="Poppins" w:cs="Poppins" w:eastAsia="Poppins" w:hAnsi="Poppins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920"/>
        <w:gridCol w:w="6150"/>
        <w:tblGridChange w:id="0">
          <w:tblGrid>
            <w:gridCol w:w="1545"/>
            <w:gridCol w:w="1920"/>
            <w:gridCol w:w="6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40" w:before="40" w:line="240" w:lineRule="auto"/>
              <w:jc w:val="center"/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TEXTO INSTRUCIONAL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Ler e compreender textos que orientam ou instruem.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Praticar a escuta do outro, compreendendo o significado da expressão “sou todo ouvidos”.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Escrever instruções de montagem.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EF03LP11 -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Ler e compreender, com autonomia, textos injuntivos instrucionais (receitas, instruções de montagem etc.), com a estrutura própria desses textos (verbos imperativos, indicação de passos a ser seguidos) e mesclando palavras, imagens e recursos gráfico- visuais, considerando a situação comunicativa e o tema/assunto do texto.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EF03LP14 - 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Planejar e produzir textos injuntivos instrucionais, com a estrutura própria desses textos (verbos imperativos, indicação de passos a ser seguidos) e mesclando palavras, imagens e recursos gráfico-visuais, considerando a situação comunicativa e o tema/ assunto do texto.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EF03LP16 -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Identificar e reproduzir, em textos injuntivos instrucionais (receitas, instruções de montagem, digitais ou impressos), a formatação própria desses textos (verbos imperativos, indicação de passos a ser seguidos) e a diagramação específica dos textos desses gêneros (lista de ingredientes ou materiais e instruções de execução – "modo de fazer").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EF15LP09 -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Expressar-se em situações de intercâmbio oral com clareza, preocupando-se em ser compreendido pelo interlocutor e usando a palavra com tom de voz audível, boa articulação e ritmo adequado.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ind w:left="0" w:firstLine="0"/>
        <w:rPr>
          <w:rFonts w:ascii="Poppins" w:cs="Poppins" w:eastAsia="Poppins" w:hAnsi="Poppins"/>
          <w:b w:val="1"/>
          <w:i w:val="1"/>
          <w:color w:val="000000"/>
          <w:sz w:val="2"/>
          <w:szCs w:val="2"/>
        </w:rPr>
      </w:pPr>
      <w:bookmarkStart w:colFirst="0" w:colLast="0" w:name="_bdy5vkhw3h7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300" w:before="300" w:line="276" w:lineRule="auto"/>
        <w:ind w:left="720" w:hanging="360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RESENHA CRÍTICA - CARTA DO LEITOR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300" w:before="300" w:line="276" w:lineRule="auto"/>
        <w:ind w:left="1440" w:hanging="360"/>
        <w:rPr>
          <w:rFonts w:ascii="Poppins" w:cs="Poppins" w:eastAsia="Poppins" w:hAnsi="Poppi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EF03LP20, EF89LP04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2"/>
        </w:numPr>
        <w:spacing w:after="300" w:before="300" w:line="276" w:lineRule="auto"/>
        <w:ind w:left="720" w:hanging="294.80314960629914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ENTREVISTA - ENTREVISTAR O AUTOR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9"/>
        </w:numPr>
        <w:spacing w:after="300" w:before="300" w:line="276" w:lineRule="auto"/>
        <w:ind w:left="1440" w:hanging="360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EF67LP14</w:t>
      </w:r>
    </w:p>
    <w:p w:rsidR="00000000" w:rsidDel="00000000" w:rsidP="00000000" w:rsidRDefault="00000000" w:rsidRPr="00000000" w14:paraId="0000002B">
      <w:pPr>
        <w:widowControl w:val="0"/>
        <w:spacing w:before="0" w:line="240" w:lineRule="auto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300" w:before="300" w:lineRule="auto"/>
        <w:ind w:left="0" w:hanging="360"/>
        <w:rPr>
          <w:rFonts w:ascii="Poppins" w:cs="Poppins" w:eastAsia="Poppins" w:hAnsi="Poppins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Em 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MATEMÁTICA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 pode ser trabalhado nos seguintes temas: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300" w:before="300" w:lineRule="auto"/>
        <w:ind w:left="720" w:hanging="294.80314960629914"/>
        <w:rPr>
          <w:rFonts w:ascii="Poppins" w:cs="Poppins" w:eastAsia="Poppins" w:hAnsi="Poppi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MEDIDA DE TEMPO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0"/>
          <w:szCs w:val="20"/>
          <w:rtl w:val="0"/>
        </w:rPr>
        <w:t xml:space="preserve">(não perceber a passagem do tempo quando está fazendo algo que gosta)</w:t>
      </w:r>
    </w:p>
    <w:p w:rsidR="00000000" w:rsidDel="00000000" w:rsidP="00000000" w:rsidRDefault="00000000" w:rsidRPr="00000000" w14:paraId="0000002E">
      <w:pPr>
        <w:pStyle w:val="Heading2"/>
        <w:numPr>
          <w:ilvl w:val="0"/>
          <w:numId w:val="3"/>
        </w:numPr>
        <w:spacing w:after="300" w:before="300" w:lineRule="auto"/>
        <w:ind w:left="1440" w:hanging="360"/>
        <w:rPr>
          <w:rFonts w:ascii="Poppins" w:cs="Poppins" w:eastAsia="Poppins" w:hAnsi="Poppins"/>
          <w:i w:val="1"/>
          <w:color w:val="000000"/>
          <w:sz w:val="24"/>
          <w:szCs w:val="24"/>
        </w:rPr>
      </w:pPr>
      <w:bookmarkStart w:colFirst="0" w:colLast="0" w:name="_esxtir6o565f" w:id="3"/>
      <w:bookmarkEnd w:id="3"/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b w:val="0"/>
          <w:i w:val="1"/>
          <w:color w:val="000000"/>
          <w:sz w:val="24"/>
          <w:szCs w:val="24"/>
          <w:rtl w:val="0"/>
        </w:rPr>
        <w:t xml:space="preserve">EF03MA18, EF03MA22.</w:t>
      </w:r>
    </w:p>
    <w:p w:rsidR="00000000" w:rsidDel="00000000" w:rsidP="00000000" w:rsidRDefault="00000000" w:rsidRPr="00000000" w14:paraId="0000002F">
      <w:pPr>
        <w:spacing w:after="300" w:before="30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before="200" w:lineRule="auto"/>
        <w:ind w:left="720" w:hanging="294.80314960629914"/>
        <w:rPr>
          <w:rFonts w:ascii="Poppins" w:cs="Poppins" w:eastAsia="Poppins" w:hAnsi="Poppins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MEDIDA DE COMPRIMENTO </w:t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0"/>
          <w:szCs w:val="20"/>
          <w:rtl w:val="0"/>
        </w:rPr>
        <w:t xml:space="preserve">(p. 48 do livro - conversão de medidas, medidas não padrão, distância)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numPr>
          <w:ilvl w:val="0"/>
          <w:numId w:val="8"/>
        </w:numPr>
        <w:spacing w:after="120" w:before="200" w:lineRule="auto"/>
        <w:ind w:left="1440" w:hanging="360"/>
        <w:rPr>
          <w:rFonts w:ascii="Poppins" w:cs="Poppins" w:eastAsia="Poppins" w:hAnsi="Poppins"/>
          <w:i w:val="1"/>
          <w:color w:val="000000"/>
          <w:sz w:val="24"/>
          <w:szCs w:val="24"/>
        </w:rPr>
      </w:pPr>
      <w:bookmarkStart w:colFirst="0" w:colLast="0" w:name="_tolycip9untq" w:id="4"/>
      <w:bookmarkEnd w:id="4"/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b w:val="0"/>
          <w:i w:val="1"/>
          <w:color w:val="000000"/>
          <w:sz w:val="24"/>
          <w:szCs w:val="24"/>
          <w:rtl w:val="0"/>
        </w:rPr>
        <w:t xml:space="preserve">EF03MA17, EF03MA18, EF03MA19, EF03MA21, EF03MA22.</w:t>
      </w:r>
    </w:p>
    <w:p w:rsidR="00000000" w:rsidDel="00000000" w:rsidP="00000000" w:rsidRDefault="00000000" w:rsidRPr="00000000" w14:paraId="00000032">
      <w:pPr>
        <w:widowControl w:val="0"/>
        <w:spacing w:before="0" w:line="240" w:lineRule="auto"/>
        <w:rPr>
          <w:rFonts w:ascii="Poppins" w:cs="Poppins" w:eastAsia="Poppins" w:hAnsi="Poppins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550"/>
        <w:gridCol w:w="5730"/>
        <w:tblGridChange w:id="0">
          <w:tblGrid>
            <w:gridCol w:w="1770"/>
            <w:gridCol w:w="2550"/>
            <w:gridCol w:w="57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40" w:before="40" w:line="240" w:lineRule="auto"/>
              <w:jc w:val="center"/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MEDIDA DE TEMPO E COMPRIMENTO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Compreender a contagem do tempo em relógios digitais e analógicos, relacionando horas, minutos e segundos.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Identificar intervalos de tempo, horário de início e término de atividades do dia a dia.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Medir e registrar comprimentos de objetos, pessoas e construções, utilizando unidades de medida adequadas.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Determinar a medida da área e do contorno de figuras em malhas quadriculadas.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EF03MA17 -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Reconhecer que o resultado de uma medida depende da unidade de medida utilizada.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EF03MA18 -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Escolher a unidade de medida e o instrumento mais apropriado para medições de comprimento, tempo e capacidade.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EF03MA19 -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Estimar, medir e comparar comprimentos, utilizando unidades de medida não padronizadas e padronizadas mais usuais (metro, centímetro e milímetro) e diversos instrumentos de medida.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EF03MA21 -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Comparar, visualmente ou por superposição, áreas de faces de objetos, de figuras planas ou de desenhos.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EF03MA22 -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Ler e registrar medidas e intervalos de tempo, utilizando relógios (analógico e digital) para informar os horários de início e término de realização de uma atividade e sua duração.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before="0" w:line="240" w:lineRule="auto"/>
        <w:rPr>
          <w:rFonts w:ascii="Poppins" w:cs="Poppins" w:eastAsia="Poppins" w:hAnsi="Poppi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0"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300" w:before="300" w:lineRule="auto"/>
        <w:ind w:left="720" w:hanging="360"/>
        <w:rPr>
          <w:rFonts w:ascii="Poppins" w:cs="Poppins" w:eastAsia="Poppins" w:hAnsi="Poppins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Já em 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 HISTÓRIA e GEOGRAFIA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 pode ser trabalhado nos seguintes temas: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300" w:before="300" w:lineRule="auto"/>
        <w:ind w:left="720" w:hanging="294.80314960629914"/>
        <w:rPr>
          <w:rFonts w:ascii="Poppins" w:cs="Poppins" w:eastAsia="Poppins" w:hAnsi="Poppi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O IMPACTO DA TECNOLOGIA EM NOSSO COTIDIANO</w:t>
      </w: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0"/>
          <w:szCs w:val="20"/>
          <w:rtl w:val="0"/>
        </w:rPr>
        <w:t xml:space="preserve">(dependência digital)</w:t>
      </w:r>
    </w:p>
    <w:p w:rsidR="00000000" w:rsidDel="00000000" w:rsidP="00000000" w:rsidRDefault="00000000" w:rsidRPr="00000000" w14:paraId="00000045">
      <w:pPr>
        <w:pStyle w:val="Heading2"/>
        <w:numPr>
          <w:ilvl w:val="0"/>
          <w:numId w:val="4"/>
        </w:numPr>
        <w:spacing w:after="300" w:before="300" w:lineRule="auto"/>
        <w:ind w:left="1440" w:hanging="360"/>
        <w:rPr>
          <w:rFonts w:ascii="Poppins" w:cs="Poppins" w:eastAsia="Poppins" w:hAnsi="Poppins"/>
          <w:i w:val="1"/>
          <w:color w:val="000000"/>
          <w:sz w:val="24"/>
          <w:szCs w:val="24"/>
        </w:rPr>
      </w:pPr>
      <w:bookmarkStart w:colFirst="0" w:colLast="0" w:name="_o33bh4jkup0t" w:id="5"/>
      <w:bookmarkEnd w:id="5"/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b w:val="0"/>
          <w:i w:val="1"/>
          <w:color w:val="000000"/>
          <w:sz w:val="24"/>
          <w:szCs w:val="24"/>
          <w:rtl w:val="0"/>
        </w:rPr>
        <w:t xml:space="preserve">EF03HI12.</w:t>
      </w:r>
    </w:p>
    <w:p w:rsidR="00000000" w:rsidDel="00000000" w:rsidP="00000000" w:rsidRDefault="00000000" w:rsidRPr="00000000" w14:paraId="00000046">
      <w:pPr>
        <w:widowControl w:val="0"/>
        <w:spacing w:before="0" w:line="240" w:lineRule="auto"/>
        <w:rPr>
          <w:rFonts w:ascii="Poppins" w:cs="Poppins" w:eastAsia="Poppins" w:hAnsi="Poppins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2085"/>
        <w:gridCol w:w="5730"/>
        <w:tblGridChange w:id="0">
          <w:tblGrid>
            <w:gridCol w:w="1980"/>
            <w:gridCol w:w="2085"/>
            <w:gridCol w:w="57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40" w:before="40" w:line="240" w:lineRule="auto"/>
              <w:jc w:val="center"/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O IMPACTO DA TECNOLOGIA EM NOSSO COTIDIANO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Identificar as relações de trabalho e as formas de lazer do passado e do presente.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EF03HI12 -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Comparar as relações de trabalho e lazer do presente com as de outros tempos e espaços, analisando mudanças e permanências.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before="0" w:lineRule="auto"/>
        <w:ind w:left="720" w:hanging="360"/>
        <w:rPr>
          <w:rFonts w:ascii="Poppins" w:cs="Poppins" w:eastAsia="Poppins" w:hAnsi="Poppins"/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rtl w:val="0"/>
        </w:rPr>
        <w:t xml:space="preserve">FONTES DE ENERGIA E RECURSOS NATURAIS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0"/>
          <w:szCs w:val="20"/>
          <w:rtl w:val="0"/>
        </w:rPr>
        <w:t xml:space="preserve">(falta de energia)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color w:val="000000"/>
        </w:rPr>
      </w:pPr>
      <w:bookmarkStart w:colFirst="0" w:colLast="0" w:name="_aezx4k3swomv" w:id="6"/>
      <w:bookmarkEnd w:id="6"/>
      <w:r w:rsidDel="00000000" w:rsidR="00000000" w:rsidRPr="00000000">
        <w:rPr>
          <w:rFonts w:ascii="Poppins" w:cs="Poppins" w:eastAsia="Poppins" w:hAnsi="Poppins"/>
          <w:i w:val="1"/>
          <w:color w:val="000000"/>
          <w:sz w:val="24"/>
          <w:szCs w:val="24"/>
          <w:rtl w:val="0"/>
        </w:rPr>
        <w:t xml:space="preserve">Habilidades BNCC: </w:t>
      </w:r>
      <w:r w:rsidDel="00000000" w:rsidR="00000000" w:rsidRPr="00000000">
        <w:rPr>
          <w:rFonts w:ascii="Poppins" w:cs="Poppins" w:eastAsia="Poppins" w:hAnsi="Poppins"/>
          <w:b w:val="0"/>
          <w:i w:val="1"/>
          <w:color w:val="000000"/>
          <w:sz w:val="24"/>
          <w:szCs w:val="24"/>
          <w:rtl w:val="0"/>
        </w:rPr>
        <w:t xml:space="preserve">EF03GE09, EF103GE10.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0" w:lineRule="auto"/>
        <w:rPr>
          <w:rFonts w:ascii="Poppins" w:cs="Poppins" w:eastAsia="Poppins" w:hAnsi="Poppins"/>
          <w:b w:val="1"/>
          <w:color w:val="000000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2490"/>
        <w:gridCol w:w="5340"/>
        <w:tblGridChange w:id="0">
          <w:tblGrid>
            <w:gridCol w:w="1935"/>
            <w:gridCol w:w="2490"/>
            <w:gridCol w:w="5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40" w:before="40" w:line="240" w:lineRule="auto"/>
              <w:jc w:val="center"/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COMO USAMOS OS RECURSOS NATURAIS?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Definir o que são recursos naturais, classificando-os em renováveis e não renováveis.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Avaliar como os recursos naturais são utilizados no cotidiano, a fim de garantir o seu uso sustentável.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EF03GE09 -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Investigar os usos dos recursos naturais, com destaque para os usos da água em atividades cotidianas (alimentação, higiene, cultivo de plantas etc.), e discutir os problemas ambientais provocados por esses usos.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40" w:before="40" w:line="240" w:lineRule="auto"/>
              <w:jc w:val="center"/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A ÁGUA NO NOSSO DIA A 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Demonstrar como a água é utilizada nas atividades do nosso cotidiano.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- Compreender os impactos das atividades humanas nos recursos hídricos e avaliar possíveis práticas de preservação.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75" w:before="0" w:line="240" w:lineRule="auto"/>
              <w:rPr>
                <w:rFonts w:ascii="Poppins" w:cs="Poppins" w:eastAsia="Poppins" w:hAnsi="Poppi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8"/>
                <w:szCs w:val="18"/>
                <w:rtl w:val="0"/>
              </w:rPr>
              <w:t xml:space="preserve">EF03GE10 -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 Identificar os cuidados necessários para utilização da água na agricultura e na geração de energia de modo a garantir a manutenção do provimento de água potável.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before="0" w:line="240" w:lineRule="auto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footerReference r:id="rId9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Yanone Kaffeesatz">
    <w:embedRegular w:fontKey="{00000000-0000-0000-0000-000000000000}" r:id="rId5" w:subsetted="0"/>
    <w:embedBold w:fontKey="{00000000-0000-0000-0000-000000000000}" r:id="rId6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6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ec7b00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251.22047244094574" w:firstLine="0"/>
            <w:jc w:val="right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7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ec7b00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6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right="392.95275590551284" w:firstLine="0"/>
            <w:jc w:val="right"/>
            <w:rPr>
              <w:rFonts w:ascii="Poppins" w:cs="Poppins" w:eastAsia="Poppins" w:hAnsi="Poppins"/>
              <w:b w:val="1"/>
              <w:color w:val="000000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pt_BR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YanoneKaffeesatz-regular.ttf"/><Relationship Id="rId6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