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E3B2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Шановні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колеги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!</w:t>
      </w:r>
    </w:p>
    <w:p w14:paraId="5D9CEA8B" w14:textId="77777777" w:rsidR="00F6677B" w:rsidRPr="00F6677B" w:rsidRDefault="00F6677B" w:rsidP="00F6677B">
      <w:pPr>
        <w:shd w:val="clear" w:color="auto" w:fill="FFFFFF"/>
        <w:spacing w:after="0" w:line="432" w:lineRule="atLeast"/>
        <w:ind w:left="142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Рекомендуємо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ознайомитись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з листом КНЗ КОР «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Київський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обласний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інститут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післядипломної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17"/>
          <w:szCs w:val="17"/>
          <w:lang w:eastAsia="ru-RU"/>
        </w:rPr>
        <w:t>педагогічних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17"/>
          <w:szCs w:val="17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17"/>
          <w:szCs w:val="17"/>
          <w:lang w:eastAsia="ru-RU"/>
        </w:rPr>
        <w:t>кадрів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17"/>
          <w:szCs w:val="17"/>
          <w:lang w:eastAsia="ru-RU"/>
        </w:rPr>
        <w:t>» </w:t>
      </w:r>
    </w:p>
    <w:p w14:paraId="67DED041" w14:textId="77777777" w:rsidR="00F6677B" w:rsidRPr="00F6677B" w:rsidRDefault="00F6677B" w:rsidP="00F6677B">
      <w:pPr>
        <w:shd w:val="clear" w:color="auto" w:fill="FFFFFF"/>
        <w:spacing w:after="0" w:line="432" w:lineRule="atLeast"/>
        <w:ind w:left="142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від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29.12.2023 р. №01-13/1229</w:t>
      </w:r>
    </w:p>
    <w:p w14:paraId="69E82DD2" w14:textId="77777777" w:rsidR="00F6677B" w:rsidRPr="00F6677B" w:rsidRDefault="00F6677B" w:rsidP="00F6677B">
      <w:pPr>
        <w:shd w:val="clear" w:color="auto" w:fill="FFFFFF"/>
        <w:spacing w:after="0" w:line="432" w:lineRule="atLeast"/>
        <w:ind w:left="142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«Про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організацію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керівних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педагогічних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кадрів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у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2024  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році</w:t>
      </w:r>
      <w:proofErr w:type="spellEnd"/>
      <w:proofErr w:type="gram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»</w:t>
      </w:r>
    </w:p>
    <w:p w14:paraId="0B32B3D3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КНЗ КОР «КОІПОПК»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надає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можливість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підвищувати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очною (денною,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вечірньою</w:t>
      </w:r>
      <w:proofErr w:type="spellEnd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),  очно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-заочною, очно-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дистанційною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формами.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проводитиметься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як на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базі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інституту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так і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виїздом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регіони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урахуванням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запитів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і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ситуації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кожній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територіальній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громаді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</w:t>
      </w:r>
    </w:p>
    <w:p w14:paraId="332953A9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Звертаємо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вашу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увагу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на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 регламент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тривалості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(див.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таблицю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нижче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120"/>
        <w:gridCol w:w="2919"/>
        <w:gridCol w:w="1950"/>
      </w:tblGrid>
      <w:tr w:rsidR="00F6677B" w:rsidRPr="00F6677B" w14:paraId="685CA062" w14:textId="77777777" w:rsidTr="00F6677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37B421A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A3B2C4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0DE272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проведення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0B4EFB3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К-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ть</w:t>
            </w:r>
            <w:proofErr w:type="spellEnd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 xml:space="preserve"> годин у 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свідоцтві</w:t>
            </w:r>
            <w:proofErr w:type="spellEnd"/>
          </w:p>
        </w:tc>
      </w:tr>
      <w:tr w:rsidR="00F6677B" w:rsidRPr="00F6677B" w14:paraId="0A30E955" w14:textId="77777777" w:rsidTr="00F6677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481C145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0E03C99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фахової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 </w:t>
            </w:r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(</w:t>
            </w:r>
            <w:proofErr w:type="gram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спец., ІІ)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818CD3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очного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навчання</w:t>
            </w:r>
            <w:proofErr w:type="spellEnd"/>
          </w:p>
          <w:p w14:paraId="0604734A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 xml:space="preserve">(3 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тижні</w:t>
            </w:r>
            <w:proofErr w:type="spellEnd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3C7A270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150 год</w:t>
            </w:r>
          </w:p>
          <w:p w14:paraId="4CAFAA9B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</w:tc>
      </w:tr>
      <w:tr w:rsidR="00F6677B" w:rsidRPr="00F6677B" w14:paraId="7AB464D6" w14:textId="77777777" w:rsidTr="00F6677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174205F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F0AA2B9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фахової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зокрема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проблеми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114E40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очного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навчання</w:t>
            </w:r>
            <w:proofErr w:type="spellEnd"/>
          </w:p>
          <w:p w14:paraId="20F3CC30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тижні</w:t>
            </w:r>
            <w:proofErr w:type="spellEnd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3ED063C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120 год</w:t>
            </w:r>
          </w:p>
          <w:p w14:paraId="7714F97F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</w:tc>
      </w:tr>
      <w:tr w:rsidR="00F6677B" w:rsidRPr="00F6677B" w14:paraId="4195263C" w14:textId="77777777" w:rsidTr="00F6677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8D4E90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90BEF03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фахової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керівних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та   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закладів</w:t>
            </w:r>
            <w:proofErr w:type="spellEnd"/>
            <w:proofErr w:type="gram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DD13F0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152D3D3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30 год</w:t>
            </w:r>
          </w:p>
        </w:tc>
      </w:tr>
      <w:tr w:rsidR="00F6677B" w:rsidRPr="00F6677B" w14:paraId="5FDB6A45" w14:textId="77777777" w:rsidTr="00F6677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1E8AACF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5ED86F7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фахової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</w:t>
            </w:r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(очно-</w:t>
            </w:r>
            <w:proofErr w:type="spellStart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заочна</w:t>
            </w:r>
            <w:proofErr w:type="spell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 xml:space="preserve"> форма </w:t>
            </w:r>
            <w:proofErr w:type="spellStart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навчання</w:t>
            </w:r>
            <w:proofErr w:type="spell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5F7B50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Навчання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графіком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:</w:t>
            </w:r>
          </w:p>
          <w:p w14:paraId="7E0A6DC5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настановча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 –</w:t>
            </w:r>
          </w:p>
          <w:p w14:paraId="71222A3B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(на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вибір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слухача) –</w:t>
            </w:r>
          </w:p>
          <w:p w14:paraId="46BB0974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заключна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</w:t>
            </w:r>
          </w:p>
          <w:p w14:paraId="10666FE6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протягом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</w:t>
            </w: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тижнів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4DF8C57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120 год</w:t>
            </w:r>
          </w:p>
          <w:p w14:paraId="4F17D1E0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</w:tc>
      </w:tr>
      <w:tr w:rsidR="00F6677B" w:rsidRPr="00F6677B" w14:paraId="545F1AD1" w14:textId="77777777" w:rsidTr="00F6677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88C87B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D801AB5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фахової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 </w:t>
            </w:r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(</w:t>
            </w:r>
            <w:proofErr w:type="gram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очно-</w:t>
            </w:r>
            <w:proofErr w:type="spellStart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дистанційна</w:t>
            </w:r>
            <w:proofErr w:type="spell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 xml:space="preserve"> форма </w:t>
            </w:r>
            <w:proofErr w:type="spellStart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навчання</w:t>
            </w:r>
            <w:proofErr w:type="spell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8D6DB0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Навчання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графіком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:</w:t>
            </w:r>
          </w:p>
          <w:p w14:paraId="2AB5F445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gramStart"/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>За  1</w:t>
            </w:r>
            <w:proofErr w:type="gramEnd"/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>спеціальністю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:</w:t>
            </w:r>
          </w:p>
          <w:p w14:paraId="2168D44F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 2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настановча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 –</w:t>
            </w:r>
          </w:p>
          <w:p w14:paraId="4DA59AFD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 день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заключна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</w:t>
            </w:r>
          </w:p>
          <w:p w14:paraId="6537AFE7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 xml:space="preserve">За 2 </w:t>
            </w:r>
            <w:proofErr w:type="spellStart"/>
            <w:proofErr w:type="gramStart"/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>спеціальностями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:</w:t>
            </w:r>
            <w:proofErr w:type="gramEnd"/>
          </w:p>
          <w:p w14:paraId="24642283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настановча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 –</w:t>
            </w:r>
          </w:p>
          <w:p w14:paraId="308CBD27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 день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проміжна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)-</w:t>
            </w:r>
          </w:p>
          <w:p w14:paraId="22415889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lastRenderedPageBreak/>
              <w:t>1 день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заключна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</w:t>
            </w:r>
          </w:p>
          <w:p w14:paraId="3FEE51AB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 xml:space="preserve">За 3 </w:t>
            </w:r>
            <w:proofErr w:type="spellStart"/>
            <w:proofErr w:type="gramStart"/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>спеціальностями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:</w:t>
            </w:r>
            <w:proofErr w:type="gramEnd"/>
          </w:p>
          <w:p w14:paraId="34BFD50E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настановча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 –</w:t>
            </w:r>
          </w:p>
          <w:p w14:paraId="3E5D3BF3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проміжна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)-</w:t>
            </w:r>
          </w:p>
          <w:p w14:paraId="19D1A628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 день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заключна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</w:t>
            </w:r>
          </w:p>
          <w:p w14:paraId="1AE00DF2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протягом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</w:t>
            </w: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 xml:space="preserve">3-4 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місяців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83C659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lastRenderedPageBreak/>
              <w:t>До 120 год</w:t>
            </w:r>
          </w:p>
          <w:p w14:paraId="7A5CF81B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спеціальність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- 60 год</w:t>
            </w:r>
          </w:p>
          <w:p w14:paraId="5BA7115A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  <w:p w14:paraId="3351991D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спеціальності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- 90 год</w:t>
            </w:r>
          </w:p>
          <w:p w14:paraId="5C6BCB32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  <w:p w14:paraId="2E5F18F4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  <w:p w14:paraId="114D0FAD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спеціальності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- 120год</w:t>
            </w:r>
          </w:p>
        </w:tc>
      </w:tr>
      <w:tr w:rsidR="00F6677B" w:rsidRPr="00F6677B" w14:paraId="5550C5A4" w14:textId="77777777" w:rsidTr="00F6677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F949BE4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2D5D1B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>Виїзні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  <w:proofErr w:type="gram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фахової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напрямом</w:t>
            </w:r>
            <w:proofErr w:type="spellEnd"/>
          </w:p>
          <w:p w14:paraId="5E59C87F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b/>
                <w:bCs/>
                <w:i/>
                <w:iCs/>
                <w:color w:val="353535"/>
                <w:sz w:val="20"/>
                <w:szCs w:val="20"/>
                <w:lang w:eastAsia="ru-RU"/>
              </w:rPr>
              <w:t>Виїзні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пролонговані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спеціальності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, з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галузі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6D9B5C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</w:p>
          <w:p w14:paraId="48EDEF7D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  <w:p w14:paraId="6B096ACB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До 6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місяців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52EC86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30 год</w:t>
            </w:r>
          </w:p>
          <w:p w14:paraId="7F48B767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  <w:p w14:paraId="23B0EBBF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120 год</w:t>
            </w:r>
          </w:p>
        </w:tc>
      </w:tr>
      <w:tr w:rsidR="00F6677B" w:rsidRPr="00F6677B" w14:paraId="00A2FA82" w14:textId="77777777" w:rsidTr="00F6677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BB1AD1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008F88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Курси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фахової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які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мають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звання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</w:t>
            </w:r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«</w:t>
            </w:r>
            <w:proofErr w:type="spellStart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вчитель</w:t>
            </w:r>
            <w:proofErr w:type="spell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-методист», «</w:t>
            </w:r>
            <w:proofErr w:type="spellStart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вихователь</w:t>
            </w:r>
            <w:proofErr w:type="spell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-методист»,</w:t>
            </w:r>
          </w:p>
          <w:p w14:paraId="678F1272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 «педагог-</w:t>
            </w:r>
            <w:proofErr w:type="spellStart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організатор</w:t>
            </w:r>
            <w:proofErr w:type="spellEnd"/>
            <w:r w:rsidRPr="00F6677B">
              <w:rPr>
                <w:rFonts w:ascii="Arial" w:eastAsia="Times New Roman" w:hAnsi="Arial" w:cs="Arial"/>
                <w:i/>
                <w:iCs/>
                <w:color w:val="353535"/>
                <w:sz w:val="20"/>
                <w:szCs w:val="20"/>
                <w:lang w:eastAsia="ru-RU"/>
              </w:rPr>
              <w:t>-методист», 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C38889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Навчання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графіком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:</w:t>
            </w:r>
          </w:p>
          <w:p w14:paraId="4659E9E7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настановча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 –</w:t>
            </w:r>
          </w:p>
          <w:p w14:paraId="026F1FC2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дні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майстер-класи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слухачів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) –</w:t>
            </w:r>
          </w:p>
          <w:p w14:paraId="7C220AF9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 день (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заключна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сесія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протягом</w:t>
            </w:r>
            <w:proofErr w:type="spellEnd"/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 </w:t>
            </w:r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 xml:space="preserve">3-6 </w:t>
            </w:r>
            <w:proofErr w:type="spellStart"/>
            <w:r w:rsidRPr="00F6677B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місяців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10BE6D3" w14:textId="77777777" w:rsidR="00F6677B" w:rsidRPr="00F6677B" w:rsidRDefault="00F6677B" w:rsidP="00F6677B">
            <w:pPr>
              <w:spacing w:after="0" w:line="432" w:lineRule="atLeast"/>
              <w:jc w:val="both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F6677B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120 год</w:t>
            </w:r>
          </w:p>
        </w:tc>
      </w:tr>
    </w:tbl>
    <w:p w14:paraId="0770F624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Нагадуємо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про те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що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директори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заступники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директорів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НВР, НМР,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виховної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роботи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закладів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загальної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середньої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директори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вихователі-методисти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закладів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дошкільної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  педагоги-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організатори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бібліотекарі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закладів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асистенти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вчителів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вихователів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вихователі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шкіл-інтернатів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гуртожитків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навчаючись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тривалістю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більше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ніж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30 годин, як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раніше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матимуть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змогу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пройти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за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фахом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 </w:t>
      </w:r>
    </w:p>
    <w:p w14:paraId="139F7D4D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Одну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додаткову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спеціальність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безкоштовно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можна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отримати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навчаючись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 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очно-заочною формою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на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пролонгованих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курсах </w:t>
      </w:r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для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педагогічних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працівників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які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мають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звання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«методист»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  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до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двох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додаткових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–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процесі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 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очно-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дистанційною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(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дистанційною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формою, за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умови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збільшення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очного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проміжні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сесії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).</w:t>
      </w:r>
    </w:p>
    <w:p w14:paraId="6896B71E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Залишається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силі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за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додатковою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спеціальністю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за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кошти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фізичних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юридичних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)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осіб</w:t>
      </w:r>
      <w:proofErr w:type="spellEnd"/>
    </w:p>
    <w:p w14:paraId="78FBEEAC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за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програмами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всіх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тривалістю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понад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30 год.</w:t>
      </w:r>
    </w:p>
    <w:p w14:paraId="74002CE0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Наголошуємо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що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зв’язку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із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недостатньою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для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формування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окремих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груп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кількістю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замовлень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не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будуть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проводитися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окремими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напрямами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.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Пропонуємо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педагогічним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працівникам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які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планували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проходження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зазначених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підвищити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 за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такими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технологіями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або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формами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:</w:t>
      </w:r>
    </w:p>
    <w:p w14:paraId="45C678E6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lastRenderedPageBreak/>
        <w:t xml:space="preserve">заступники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директорів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закладів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загальної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середньої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виховної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роботи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Розвиток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демократичного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середовища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врядування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закладі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загальної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середньої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 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О.Боярчук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Л.Микитюк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),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-16.09-27.09);</w:t>
      </w:r>
    </w:p>
    <w:p w14:paraId="6A18DC34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німецької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французької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мов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очно-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заочна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–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з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Особливості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вивчення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французької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/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німецької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мови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як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другої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іноземної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14.04-17.05);</w:t>
      </w:r>
    </w:p>
    <w:p w14:paraId="56C4B020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зарубіжної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літератури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очно-заочною формою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04.03-29.03);</w:t>
      </w:r>
    </w:p>
    <w:p w14:paraId="52A5916B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історії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правознавства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громадянської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Розвиток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професійної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майстерності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вчителів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суспільствознавчих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предметів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14.10-25.10);</w:t>
      </w:r>
    </w:p>
    <w:p w14:paraId="34C88EE3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географії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інтегрованих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природничої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освітньої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галузі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очно-заочною формою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30.09-25.10);</w:t>
      </w:r>
    </w:p>
    <w:p w14:paraId="0D1E6C37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фізики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й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астрономії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очно-заочною формою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05.02-01.03);</w:t>
      </w:r>
    </w:p>
    <w:p w14:paraId="632A33F9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біології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екології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очно-заочною формою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08.01-02.02);</w:t>
      </w:r>
    </w:p>
    <w:p w14:paraId="6518C7EC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хімії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інтегрованих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природничої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освітньої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галузі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очно-заочною формою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30.09-25.10);</w:t>
      </w:r>
    </w:p>
    <w:p w14:paraId="02BA9B3B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технічної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праці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 (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-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за очно-заочною формою 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02.09-27.09);</w:t>
      </w:r>
    </w:p>
    <w:p w14:paraId="4BE1C887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обслуговуючої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праці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 (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-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за очно-заочною формою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30.09-25.10);</w:t>
      </w:r>
    </w:p>
    <w:p w14:paraId="2FD6AF53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захисту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України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–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за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очно-заочною формою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30.09-25.10);</w:t>
      </w:r>
    </w:p>
    <w:p w14:paraId="5A10CA2F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образотворчого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мистецтва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-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№</w:t>
      </w:r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105  (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06.03-17.03);</w:t>
      </w:r>
    </w:p>
    <w:p w14:paraId="51294E68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учителі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образотворчого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мистецтва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(очно-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заочна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-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очно-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дистанційною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формою  (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22.08-05.12);</w:t>
      </w:r>
    </w:p>
    <w:p w14:paraId="38B1C3BF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вихователі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ГПД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очно-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заочна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форми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для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вчителів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початкових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класів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вихователів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ГПД (за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вибором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слухачів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);</w:t>
      </w:r>
    </w:p>
    <w:p w14:paraId="16AF59AB" w14:textId="77777777" w:rsidR="00F6677B" w:rsidRPr="00F6677B" w:rsidRDefault="00F6677B" w:rsidP="00F667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керівники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гуртків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технічного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напряму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очно-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заочна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форми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 –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для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керівників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гуртків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без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визначення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напряму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діяльності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15.04-26.04 –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денна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форма, 15.04-10.05 – очно-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заочна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форма).</w:t>
      </w:r>
    </w:p>
    <w:p w14:paraId="600FC272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Окрім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того, 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у 2024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році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не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проводитимуться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пролонговані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педагогічних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працівників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які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мають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звання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«методист»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для таких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спеціальностей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: «Практична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психологія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»,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Логопедія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», «Педагог-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організатор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».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Натомість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педагогам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зазначених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категорій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пропонується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підвищити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на курсах за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відповідно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до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графіка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</w:t>
      </w:r>
    </w:p>
    <w:p w14:paraId="57A37AA3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Вилучено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графіка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:</w:t>
      </w:r>
    </w:p>
    <w:p w14:paraId="35A49648" w14:textId="77777777" w:rsidR="00F6677B" w:rsidRPr="00F6677B" w:rsidRDefault="00F6677B" w:rsidP="00F667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№8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Педагогічний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кейс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професійній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діяльності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А.Шевченко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А.Аносова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». Педагогам,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які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обрали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на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пропонується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підвищити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на курсах за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або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обраної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відповідно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до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графіка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;</w:t>
      </w:r>
    </w:p>
    <w:p w14:paraId="0626248C" w14:textId="77777777" w:rsidR="00F6677B" w:rsidRPr="00F6677B" w:rsidRDefault="00F6677B" w:rsidP="00F667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№137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Організація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зміст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психолого-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педагогічного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супроводу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суб’єктів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освітнього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процесу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закладі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дошкільної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».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Практичним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психологам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соціальним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педагогам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закладів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дошкільної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які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планували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навчатися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на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курсах,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пропонується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підвищити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на курсах за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період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01.04-12.04.</w:t>
      </w:r>
    </w:p>
    <w:p w14:paraId="0054C0EA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 xml:space="preserve">З </w:t>
      </w:r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метою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оптимізації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забезпечення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повноцінного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освітнього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процесу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реалізації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запитів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педагогів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області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щодо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на курсах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підвищення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фахової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кваліфікації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певної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проблеми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забезпечення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раціонального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використання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державних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коштів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проведено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деяку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перекомплектацію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поданих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замовлень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для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вказаною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технологією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</w:t>
      </w:r>
    </w:p>
    <w:p w14:paraId="4E79915F" w14:textId="77777777" w:rsidR="00F6677B" w:rsidRPr="00F6677B" w:rsidRDefault="00F6677B" w:rsidP="00F6677B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Для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цього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об’єднано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групи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курсів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бланку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замовлення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:</w:t>
      </w:r>
    </w:p>
    <w:p w14:paraId="28CAC47A" w14:textId="77777777" w:rsidR="00F6677B" w:rsidRPr="00F6677B" w:rsidRDefault="00F6677B" w:rsidP="00F667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№7, 18, 20, 141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і подано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графіку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проведення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курсів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редакції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Гейміфікація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освітньому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процесі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української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школи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Ю.Гребеніченко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Т.Луговська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-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23.12-26.12;</w:t>
      </w:r>
    </w:p>
    <w:p w14:paraId="05E051D1" w14:textId="77777777" w:rsidR="00F6677B" w:rsidRPr="00F6677B" w:rsidRDefault="00F6677B" w:rsidP="00F667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№9, 12,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14  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Інтерактивне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онлайн-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форматі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»  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О.Боярчук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М.Славінська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21.10-24.10;</w:t>
      </w:r>
    </w:p>
    <w:p w14:paraId="09AF7C12" w14:textId="77777777" w:rsidR="00F6677B" w:rsidRPr="00F6677B" w:rsidRDefault="00F6677B" w:rsidP="00F667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№16,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17  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Формування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національної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ідентичності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особистості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ціннісному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вимірі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української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школи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 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С.Ковальова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К.Плівачук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В.Перерва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06.02-09.02;</w:t>
      </w:r>
    </w:p>
    <w:p w14:paraId="2C377A69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№22, 23,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24  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Технологія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створення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вебквестів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віртуальних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екскурсій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подорожей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А.Довгань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О.Часнікова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03.09-06.09;</w:t>
      </w:r>
    </w:p>
    <w:p w14:paraId="675FC6A3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№26,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30  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Організаційно-методичні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засади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діяльності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інклюзивно-ресурсних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центрів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контексті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реформування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системи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України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»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01.04-12.04;</w:t>
      </w:r>
    </w:p>
    <w:p w14:paraId="605459C4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№38, 44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Розвиток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критичного та креативного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мислення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на уроках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української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мови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літератури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зарубіжної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літератури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»,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15.04-26.04;</w:t>
      </w:r>
    </w:p>
    <w:p w14:paraId="1F04AC64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№68,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69  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Реалізація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компетентнісного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діяльнісного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підходів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вивченні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біології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екології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інтегрованих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природничої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освітньої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галузі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Т.Матущенко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17.09-20.09;</w:t>
      </w:r>
    </w:p>
    <w:p w14:paraId="1156394B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№73,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75  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Оцінювання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результатів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учнів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предметам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соціальної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здоров’язбережувальної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освітньої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галузі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softHyphen/>
        <w:t>роб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softHyphen/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softHyphen/>
        <w:t>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Н.Лисенко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І.Мазуркевич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19.03-22.03;</w:t>
      </w:r>
    </w:p>
    <w:p w14:paraId="33E0B83B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№78, 80, 81, 82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Діджиталізація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освітнього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процесу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географії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економіки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інтегрованих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природничої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освітньої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галузі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 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А.Довгань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В.Совенко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-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05.02-16.02;</w:t>
      </w:r>
    </w:p>
    <w:p w14:paraId="4F087BEF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№87,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89  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Розвиток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учнів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рухових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здібностей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фізичних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якостей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засобами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футболу»,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16.09-27.09;</w:t>
      </w:r>
    </w:p>
    <w:p w14:paraId="13876B20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№90,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91  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«Методика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волейболу та баскетболу на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заняттях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із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фізичної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культури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розробник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О.Лакіза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)»,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16.12-27.12;</w:t>
      </w:r>
    </w:p>
    <w:p w14:paraId="4D25624C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№92,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94  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</w:t>
      </w:r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методи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реалізації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Національної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стратегії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з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оздоровчої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рухової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активності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Україні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О.Лакіза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-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12.11-15.11;</w:t>
      </w:r>
    </w:p>
    <w:p w14:paraId="2E38D5E0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№95, 97 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-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</w:t>
      </w:r>
      <w:proofErr w:type="spellStart"/>
      <w:proofErr w:type="gram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Ефективні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засоби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організації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рухової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діяльності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учнів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на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заняттях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із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фізичної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культури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»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В.Качуровський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,-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07.05-10.05;</w:t>
      </w:r>
    </w:p>
    <w:p w14:paraId="5571CB2A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№98, 100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-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Особливості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організації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військово-патріотичного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виховання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учнів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закладах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,-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12.12-15.12;</w:t>
      </w:r>
    </w:p>
    <w:p w14:paraId="098BED77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№106, 108, 109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- 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Формування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мистецьких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компетентностей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здобувачів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вивченні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музичного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й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образотворчого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мистецтв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розробникит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С.Ковальова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В.Власова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-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30.09-11.10;</w:t>
      </w:r>
    </w:p>
    <w:p w14:paraId="5821B496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№107, 113 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Використання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живописних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і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графічних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технік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вивченні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предметів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освітньої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галузі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Мистецтво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А.Дудка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28.10-31.10;</w:t>
      </w:r>
    </w:p>
    <w:p w14:paraId="2019CDD7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№116, 117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– «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Реалізація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завдань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освітніх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галузей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Державного стандарту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початкової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освіти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вивченні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інтегрованого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курсу «Я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досліджую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світ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 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І.Дишлева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А.Седеревічене</w:t>
      </w:r>
      <w:proofErr w:type="spellEnd"/>
      <w:proofErr w:type="gram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16.12-27.12;</w:t>
      </w:r>
    </w:p>
    <w:p w14:paraId="18FA6170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№125, 126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- 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«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Розвиток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творчого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потенціалу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молодших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школярів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умовах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Нової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української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школи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 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К.Плівачук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Ж.Вихрестенко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,-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22.01-02.02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або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30.09-11.10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залежно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від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територіальної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громади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);</w:t>
      </w:r>
    </w:p>
    <w:p w14:paraId="5878BF3B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№127, 128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- 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«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Особливості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оцінювання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результатів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початковій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школі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 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Л.Ткаченко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О.Романюк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,-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19.02-01.03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або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14.10-25.10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залежно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від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територіальної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громади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);</w:t>
      </w:r>
    </w:p>
    <w:p w14:paraId="2B4D2775" w14:textId="77777777" w:rsidR="00F6677B" w:rsidRPr="00F6677B" w:rsidRDefault="00F6677B" w:rsidP="00F667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№130, 131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-  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«</w:t>
      </w:r>
      <w:proofErr w:type="spellStart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Формування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читацької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комунікативної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компетентностей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молодшого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школяра» (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розробники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: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Л.Ткаченко</w:t>
      </w:r>
      <w:proofErr w:type="spellEnd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О.Романюк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</w:t>
      </w:r>
      <w:r w:rsidRPr="00F6677B">
        <w:rPr>
          <w:rFonts w:ascii="Arial" w:eastAsia="Times New Roman" w:hAnsi="Arial" w:cs="Arial"/>
          <w:i/>
          <w:iCs/>
          <w:color w:val="353535"/>
          <w:sz w:val="20"/>
          <w:szCs w:val="20"/>
          <w:lang w:eastAsia="ru-RU"/>
        </w:rPr>
        <w:t>,-</w:t>
      </w:r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– 04.03-15.03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або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30.09-11.10 (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залежно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від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територіальної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громади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).</w:t>
      </w:r>
    </w:p>
    <w:p w14:paraId="49EF71FE" w14:textId="77777777" w:rsidR="00F6677B" w:rsidRPr="00F6677B" w:rsidRDefault="00F6677B" w:rsidP="00F6677B">
      <w:pPr>
        <w:shd w:val="clear" w:color="auto" w:fill="FFFFFF"/>
        <w:spacing w:after="0" w:line="432" w:lineRule="atLeast"/>
        <w:ind w:left="357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Нагадуємо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про </w:t>
      </w:r>
      <w:proofErr w:type="spellStart"/>
      <w:proofErr w:type="gram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необхідність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своєчасного</w:t>
      </w:r>
      <w:proofErr w:type="spellEnd"/>
      <w:proofErr w:type="gram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відрядження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керівних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педагогічних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кадрів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на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відповідно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до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попереднього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замовлення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з 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обов’язковим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дотриманням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вказаної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раніше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кількості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bookmarkStart w:id="0" w:name="_GoBack"/>
      <w:bookmarkEnd w:id="0"/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педагогів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форми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</w:t>
      </w:r>
    </w:p>
    <w:p w14:paraId="01F509D9" w14:textId="77777777" w:rsidR="00F6677B" w:rsidRPr="00F6677B" w:rsidRDefault="00F6677B" w:rsidP="00F6677B">
      <w:pPr>
        <w:shd w:val="clear" w:color="auto" w:fill="FFFFFF"/>
        <w:spacing w:after="0" w:line="432" w:lineRule="atLeast"/>
        <w:ind w:left="708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Наголошуємо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що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освітяни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які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відряджаються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на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повинні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мати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при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собі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:</w:t>
      </w:r>
    </w:p>
    <w:p w14:paraId="308784E0" w14:textId="77777777" w:rsidR="00F6677B" w:rsidRPr="00F6677B" w:rsidRDefault="00F6677B" w:rsidP="00F667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Оригінал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направлення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на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курси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,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завірений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печаткою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, в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якому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чітко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вказуються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:</w:t>
      </w:r>
    </w:p>
    <w:p w14:paraId="5A01644F" w14:textId="77777777" w:rsidR="00F6677B" w:rsidRPr="00F6677B" w:rsidRDefault="00F6677B" w:rsidP="00F6677B">
      <w:pPr>
        <w:shd w:val="clear" w:color="auto" w:fill="FFFFFF"/>
        <w:spacing w:after="0" w:line="432" w:lineRule="atLeast"/>
        <w:ind w:left="708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- </w:t>
      </w:r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форма 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власності</w:t>
      </w:r>
      <w:proofErr w:type="spellEnd"/>
      <w:proofErr w:type="gram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навчального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закладу,</w:t>
      </w:r>
    </w:p>
    <w:p w14:paraId="027220DD" w14:textId="77777777" w:rsidR="00F6677B" w:rsidRPr="00F6677B" w:rsidRDefault="00F6677B" w:rsidP="00F6677B">
      <w:pPr>
        <w:shd w:val="clear" w:color="auto" w:fill="FFFFFF"/>
        <w:spacing w:after="0" w:line="432" w:lineRule="atLeast"/>
        <w:ind w:left="708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-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назва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курсів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,</w:t>
      </w:r>
    </w:p>
    <w:p w14:paraId="6F6382EB" w14:textId="77777777" w:rsidR="00F6677B" w:rsidRPr="00F6677B" w:rsidRDefault="00F6677B" w:rsidP="00F6677B">
      <w:pPr>
        <w:shd w:val="clear" w:color="auto" w:fill="FFFFFF"/>
        <w:spacing w:after="0" w:line="432" w:lineRule="atLeast"/>
        <w:ind w:left="708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-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термін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,</w:t>
      </w:r>
    </w:p>
    <w:p w14:paraId="57A259E6" w14:textId="77777777" w:rsidR="00F6677B" w:rsidRPr="00F6677B" w:rsidRDefault="00F6677B" w:rsidP="00F6677B">
      <w:pPr>
        <w:shd w:val="clear" w:color="auto" w:fill="FFFFFF"/>
        <w:spacing w:after="0" w:line="432" w:lineRule="atLeast"/>
        <w:ind w:left="708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-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спеціальність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, за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програмою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якої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проводитиметься</w:t>
      </w:r>
      <w:proofErr w:type="spellEnd"/>
      <w:proofErr w:type="gram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,</w:t>
      </w:r>
    </w:p>
    <w:p w14:paraId="0A5FA5F3" w14:textId="77777777" w:rsidR="00F6677B" w:rsidRPr="00F6677B" w:rsidRDefault="00F6677B" w:rsidP="00F6677B">
      <w:pPr>
        <w:shd w:val="clear" w:color="auto" w:fill="FFFFFF"/>
        <w:spacing w:after="0" w:line="432" w:lineRule="atLeast"/>
        <w:ind w:left="708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-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додаткова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спеціальність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, за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якою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проходитиме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навчання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педагогічний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працівник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(у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разі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наявності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такої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).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Якщо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додаткова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спеціальність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здобуватиметься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за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кошти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фізичних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осіб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, про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це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</w:t>
      </w:r>
      <w:proofErr w:type="spellStart"/>
      <w:proofErr w:type="gram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також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 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вказується</w:t>
      </w:r>
      <w:proofErr w:type="spellEnd"/>
      <w:proofErr w:type="gram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у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направленні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.</w:t>
      </w:r>
    </w:p>
    <w:p w14:paraId="126E0324" w14:textId="77777777" w:rsidR="00F6677B" w:rsidRPr="00F6677B" w:rsidRDefault="00F6677B" w:rsidP="00F6677B">
      <w:pPr>
        <w:shd w:val="clear" w:color="auto" w:fill="FFFFFF"/>
        <w:spacing w:after="0" w:line="432" w:lineRule="atLeast"/>
        <w:ind w:left="708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2)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>Копію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u w:val="single"/>
          <w:lang w:eastAsia="ru-RU"/>
        </w:rPr>
        <w:t xml:space="preserve"> диплому.</w:t>
      </w:r>
    </w:p>
    <w:p w14:paraId="217B47D5" w14:textId="77777777" w:rsidR="00F6677B" w:rsidRPr="00F6677B" w:rsidRDefault="00F6677B" w:rsidP="00F6677B">
      <w:pPr>
        <w:shd w:val="clear" w:color="auto" w:fill="FFFFFF"/>
        <w:spacing w:after="0" w:line="432" w:lineRule="atLeast"/>
        <w:ind w:left="1069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Сподіваємося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на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розуміння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й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подальшу</w:t>
      </w:r>
      <w:proofErr w:type="spellEnd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 w:rsidRPr="00F6677B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співпрацю</w:t>
      </w:r>
      <w:proofErr w:type="spellEnd"/>
      <w:r w:rsidRPr="00F6677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!</w:t>
      </w:r>
    </w:p>
    <w:p w14:paraId="0A7E4FF3" w14:textId="06C67363" w:rsidR="00310055" w:rsidRPr="00F6677B" w:rsidRDefault="00310055" w:rsidP="00F6677B">
      <w:pPr>
        <w:jc w:val="both"/>
      </w:pPr>
    </w:p>
    <w:sectPr w:rsidR="00310055" w:rsidRPr="00F6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6E4"/>
    <w:multiLevelType w:val="multilevel"/>
    <w:tmpl w:val="50B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2DDB"/>
    <w:multiLevelType w:val="multilevel"/>
    <w:tmpl w:val="E68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71193"/>
    <w:multiLevelType w:val="multilevel"/>
    <w:tmpl w:val="DBCE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67B2"/>
    <w:multiLevelType w:val="multilevel"/>
    <w:tmpl w:val="CAA0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C6D11"/>
    <w:multiLevelType w:val="multilevel"/>
    <w:tmpl w:val="F45C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B37F2"/>
    <w:multiLevelType w:val="multilevel"/>
    <w:tmpl w:val="DC1A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674EC"/>
    <w:multiLevelType w:val="multilevel"/>
    <w:tmpl w:val="BED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F2563"/>
    <w:multiLevelType w:val="multilevel"/>
    <w:tmpl w:val="F34A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D1431"/>
    <w:multiLevelType w:val="multilevel"/>
    <w:tmpl w:val="A348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02BFB"/>
    <w:multiLevelType w:val="multilevel"/>
    <w:tmpl w:val="01B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A8"/>
    <w:rsid w:val="00310055"/>
    <w:rsid w:val="00CD34A8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D155"/>
  <w15:chartTrackingRefBased/>
  <w15:docId w15:val="{73450538-CADD-4677-A66F-28BC379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77B"/>
    <w:rPr>
      <w:b/>
      <w:bCs/>
    </w:rPr>
  </w:style>
  <w:style w:type="character" w:styleId="a5">
    <w:name w:val="Emphasis"/>
    <w:basedOn w:val="a0"/>
    <w:uiPriority w:val="20"/>
    <w:qFormat/>
    <w:rsid w:val="00F6677B"/>
    <w:rPr>
      <w:i/>
      <w:iCs/>
    </w:rPr>
  </w:style>
  <w:style w:type="character" w:styleId="a6">
    <w:name w:val="Hyperlink"/>
    <w:basedOn w:val="a0"/>
    <w:uiPriority w:val="99"/>
    <w:semiHidden/>
    <w:unhideWhenUsed/>
    <w:rsid w:val="00F66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PC-13</dc:creator>
  <cp:keywords/>
  <dc:description/>
  <cp:lastModifiedBy>PC-13</cp:lastModifiedBy>
  <cp:revision>3</cp:revision>
  <dcterms:created xsi:type="dcterms:W3CDTF">2024-11-12T07:03:00Z</dcterms:created>
  <dcterms:modified xsi:type="dcterms:W3CDTF">2024-11-12T07:06:00Z</dcterms:modified>
</cp:coreProperties>
</file>