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DC766" w14:textId="77777777" w:rsidR="0096002D" w:rsidRPr="0096002D" w:rsidRDefault="0096002D" w:rsidP="0096002D">
      <w:pPr>
        <w:pStyle w:val="NormalWeb"/>
      </w:pPr>
      <w:r w:rsidRPr="0096002D">
        <w:t>Världen ser idag helt annorlunda ut än den gjorde när Förenta Nationerna grundades. Det som en gång var tänkt att bli en symbol för global enighet och fred har förvandlats till en uppblåst byråkratisk institution, präglad av ineffektivitet, politiska agendor och egenintressen från mäktiga nationer. Krav på reformer har hörts i årtionden, men mycket lite har åstadkommits – för de som drar nytta av det nuvarande systemet har ingen större anledning att vilja förändra det.</w:t>
      </w:r>
    </w:p>
    <w:p w14:paraId="75978202" w14:textId="77777777" w:rsidR="0096002D" w:rsidRPr="0096002D" w:rsidRDefault="0096002D" w:rsidP="0096002D">
      <w:pPr>
        <w:pStyle w:val="NormalWeb"/>
      </w:pPr>
      <w:r w:rsidRPr="0096002D">
        <w:t xml:space="preserve">På </w:t>
      </w:r>
      <w:r w:rsidRPr="0096002D">
        <w:rPr>
          <w:rStyle w:val="Emphasis"/>
          <w:rFonts w:eastAsiaTheme="majorEastAsia"/>
        </w:rPr>
        <w:t>Tillsammans för Sverige</w:t>
      </w:r>
      <w:r w:rsidRPr="0096002D">
        <w:t xml:space="preserve"> förespråkar vi reformer inom FN, men vi är också realistiska. Äkta förändring är osannolik så länge makten är så starkt koncentrerad. Därför har vi valt en annan väg: att utarbeta en genomtänkt modell för att ersätta FN helt och hållet. Detta är inte bara en kritik av det nuvarande systemet, utan en ödmjuk men seriös lösning som kan fungera som ett alternativ eller som en grund för verklig förändring.</w:t>
      </w:r>
    </w:p>
    <w:p w14:paraId="5063892D" w14:textId="77777777" w:rsidR="0096002D" w:rsidRPr="0096002D" w:rsidRDefault="0096002D" w:rsidP="0096002D">
      <w:pPr>
        <w:pStyle w:val="NormalWeb"/>
      </w:pPr>
      <w:r w:rsidRPr="0096002D">
        <w:t>I linje med våra konservativa värderingar och vårt tydliga motstånd mot den socialistiska utopin om en världsregering betonar vårt förslag frivilligt samarbete, regional autonomi och respekt för nationell suveränitet. Vi avvisar idén om en centraliserad global styrning och erbjuder istället en modell som syftar till att främja genuint samarbete, samtidigt som den värnar om varje nations unika identitet och självständighet.</w:t>
      </w:r>
    </w:p>
    <w:p w14:paraId="15926655" w14:textId="77777777" w:rsidR="0096002D" w:rsidRPr="0096002D" w:rsidRDefault="0096002D" w:rsidP="0096002D">
      <w:pPr>
        <w:pStyle w:val="NormalWeb"/>
      </w:pPr>
      <w:r w:rsidRPr="0096002D">
        <w:t>Detta är vår föreslagna idé, presenterad nedan, som en grund för diskussion, debatt och i förlängningen handling.</w:t>
      </w:r>
    </w:p>
    <w:p w14:paraId="6A96AF94" w14:textId="77777777" w:rsidR="0096002D" w:rsidRPr="0096002D" w:rsidRDefault="0096002D" w:rsidP="0096002D">
      <w:pPr>
        <w:pStyle w:val="NormalWeb"/>
        <w:spacing w:before="0" w:beforeAutospacing="0"/>
        <w:rPr>
          <w:color w:val="404040"/>
        </w:rPr>
      </w:pPr>
      <w:r w:rsidRPr="0096002D">
        <w:rPr>
          <w:rStyle w:val="Strong"/>
          <w:rFonts w:eastAsiaTheme="majorEastAsia"/>
          <w:color w:val="404040"/>
        </w:rPr>
        <w:t>En ny modell för global styrning: Global Cooperation &amp; Advisory Council (GCAC)</w:t>
      </w:r>
    </w:p>
    <w:p w14:paraId="31DAA240" w14:textId="77777777" w:rsidR="0096002D" w:rsidRPr="0096002D" w:rsidRDefault="0096002D" w:rsidP="0096002D">
      <w:pPr>
        <w:pStyle w:val="NormalWeb"/>
        <w:rPr>
          <w:color w:val="404040"/>
        </w:rPr>
      </w:pPr>
      <w:r w:rsidRPr="0096002D">
        <w:rPr>
          <w:rStyle w:val="Strong"/>
          <w:rFonts w:eastAsiaTheme="majorEastAsia"/>
          <w:color w:val="404040"/>
        </w:rPr>
        <w:t>Inledning: Varför vi behöver ett nytt tillvägagångssätt</w:t>
      </w:r>
      <w:r w:rsidRPr="0096002D">
        <w:rPr>
          <w:color w:val="404040"/>
        </w:rPr>
        <w:br/>
        <w:t>Förenta nationerna (FN) grundades efter andra världskriget i hopp om att förhindra framtida konflikter, främja internationellt samarbete och skydda mänskliga rättigheter. Nästan åtta decennier senare är det tydligt att FN, trots vissa framgångar, blivit allt mer ineffektivt, politiserat och föråldrat i sitt tillvägagångssätt. Nationer över hela världen, både stora och små, ser ofta FN som en </w:t>
      </w:r>
      <w:r w:rsidRPr="0096002D">
        <w:rPr>
          <w:rStyle w:val="Strong"/>
          <w:rFonts w:eastAsiaTheme="majorEastAsia"/>
          <w:color w:val="404040"/>
        </w:rPr>
        <w:t>tandlös institution</w:t>
      </w:r>
      <w:r w:rsidRPr="0096002D">
        <w:rPr>
          <w:color w:val="404040"/>
        </w:rPr>
        <w:t> som inte kan hantera stora globala kriser effektivt, medan andra kritiserar det som en </w:t>
      </w:r>
      <w:r w:rsidRPr="0096002D">
        <w:rPr>
          <w:rStyle w:val="Strong"/>
          <w:rFonts w:eastAsiaTheme="majorEastAsia"/>
          <w:color w:val="404040"/>
        </w:rPr>
        <w:t>globalistisk organisation</w:t>
      </w:r>
      <w:r w:rsidRPr="0096002D">
        <w:rPr>
          <w:color w:val="404040"/>
        </w:rPr>
        <w:t> som vill underminera suveränitet och införa enhetliga policyer på kulturellt och politiskt olika länder.</w:t>
      </w:r>
    </w:p>
    <w:p w14:paraId="2B8F30CA" w14:textId="77777777" w:rsidR="0096002D" w:rsidRPr="0096002D" w:rsidRDefault="0096002D" w:rsidP="0096002D">
      <w:pPr>
        <w:pStyle w:val="NormalWeb"/>
        <w:rPr>
          <w:color w:val="404040"/>
        </w:rPr>
      </w:pPr>
      <w:r w:rsidRPr="0096002D">
        <w:rPr>
          <w:color w:val="404040"/>
        </w:rPr>
        <w:t>Detta förslag till </w:t>
      </w:r>
      <w:r w:rsidRPr="0096002D">
        <w:rPr>
          <w:rStyle w:val="Strong"/>
          <w:rFonts w:eastAsiaTheme="majorEastAsia"/>
          <w:color w:val="404040"/>
        </w:rPr>
        <w:t>Global Cooperation &amp; Advisory Council (GCAC)</w:t>
      </w:r>
      <w:r w:rsidRPr="0096002D">
        <w:rPr>
          <w:color w:val="404040"/>
        </w:rPr>
        <w:t> adresserar dessa kritikpunkter genom att skapa en smalare, mer transparent och decentraliserad modell för global styrning som betonar </w:t>
      </w:r>
      <w:r w:rsidRPr="0096002D">
        <w:rPr>
          <w:rStyle w:val="Strong"/>
          <w:rFonts w:eastAsiaTheme="majorEastAsia"/>
          <w:color w:val="404040"/>
        </w:rPr>
        <w:t>frivilligt deltagande</w:t>
      </w:r>
      <w:r w:rsidRPr="0096002D">
        <w:rPr>
          <w:color w:val="404040"/>
        </w:rPr>
        <w:t>, </w:t>
      </w:r>
      <w:r w:rsidRPr="0096002D">
        <w:rPr>
          <w:rStyle w:val="Strong"/>
          <w:rFonts w:eastAsiaTheme="majorEastAsia"/>
          <w:color w:val="404040"/>
        </w:rPr>
        <w:t>respekt för suveränitet</w:t>
      </w:r>
      <w:r w:rsidRPr="0096002D">
        <w:rPr>
          <w:color w:val="404040"/>
        </w:rPr>
        <w:t> och </w:t>
      </w:r>
      <w:r w:rsidRPr="0096002D">
        <w:rPr>
          <w:rStyle w:val="Strong"/>
          <w:rFonts w:eastAsiaTheme="majorEastAsia"/>
          <w:color w:val="404040"/>
        </w:rPr>
        <w:t>praktiskt samarbete</w:t>
      </w:r>
      <w:r w:rsidRPr="0096002D">
        <w:rPr>
          <w:color w:val="404040"/>
        </w:rPr>
        <w:t>. Till skillnad från FN skulle GCAC fungera som en </w:t>
      </w:r>
      <w:r w:rsidRPr="0096002D">
        <w:rPr>
          <w:rStyle w:val="Strong"/>
          <w:rFonts w:eastAsiaTheme="majorEastAsia"/>
          <w:color w:val="404040"/>
        </w:rPr>
        <w:t>icke-tvångsbaserad rådgivande och krisresponsorganisation</w:t>
      </w:r>
      <w:r w:rsidRPr="0096002D">
        <w:rPr>
          <w:color w:val="404040"/>
        </w:rPr>
        <w:t>, där inget land tvingas till efterlevnad men där deltagande uppmuntras genom tydliga fördelar och stöd.</w:t>
      </w:r>
    </w:p>
    <w:p w14:paraId="2F4F906C" w14:textId="77777777" w:rsidR="0096002D" w:rsidRPr="0096002D" w:rsidRDefault="0096002D" w:rsidP="0096002D">
      <w:pPr>
        <w:pStyle w:val="NormalWeb"/>
        <w:rPr>
          <w:color w:val="404040"/>
        </w:rPr>
      </w:pPr>
      <w:r w:rsidRPr="0096002D">
        <w:rPr>
          <w:rStyle w:val="Strong"/>
          <w:rFonts w:eastAsiaTheme="majorEastAsia"/>
          <w:color w:val="404040"/>
        </w:rPr>
        <w:t>Kritik mot Förenta nationerna</w:t>
      </w:r>
    </w:p>
    <w:p w14:paraId="1A644D50" w14:textId="77777777" w:rsidR="0096002D" w:rsidRPr="0096002D" w:rsidRDefault="0096002D" w:rsidP="0096002D">
      <w:pPr>
        <w:pStyle w:val="NormalWeb"/>
        <w:rPr>
          <w:color w:val="404040"/>
        </w:rPr>
      </w:pPr>
      <w:r w:rsidRPr="0096002D">
        <w:rPr>
          <w:rStyle w:val="Strong"/>
          <w:rFonts w:eastAsiaTheme="majorEastAsia"/>
          <w:color w:val="404040"/>
        </w:rPr>
        <w:t>1. Partiskhet och korruption</w:t>
      </w:r>
      <w:r w:rsidRPr="0096002D">
        <w:rPr>
          <w:color w:val="404040"/>
        </w:rPr>
        <w:br/>
        <w:t>En av de vanligaste kritikerna mot FN är dess </w:t>
      </w:r>
      <w:r w:rsidRPr="0096002D">
        <w:rPr>
          <w:rStyle w:val="Strong"/>
          <w:rFonts w:eastAsiaTheme="majorEastAsia"/>
          <w:color w:val="404040"/>
        </w:rPr>
        <w:t>politiska partiskhet</w:t>
      </w:r>
      <w:r w:rsidRPr="0096002D">
        <w:rPr>
          <w:color w:val="404040"/>
        </w:rPr>
        <w:t> och sårbarhet för </w:t>
      </w:r>
      <w:r w:rsidRPr="0096002D">
        <w:rPr>
          <w:rStyle w:val="Strong"/>
          <w:rFonts w:eastAsiaTheme="majorEastAsia"/>
          <w:color w:val="404040"/>
        </w:rPr>
        <w:t>korruption</w:t>
      </w:r>
      <w:r w:rsidRPr="0096002D">
        <w:rPr>
          <w:color w:val="404040"/>
        </w:rPr>
        <w:t>.</w:t>
      </w:r>
    </w:p>
    <w:p w14:paraId="14F6B3E2" w14:textId="77777777" w:rsidR="0096002D" w:rsidRPr="0096002D" w:rsidRDefault="0096002D" w:rsidP="0096002D">
      <w:pPr>
        <w:pStyle w:val="NormalWeb"/>
        <w:numPr>
          <w:ilvl w:val="0"/>
          <w:numId w:val="22"/>
        </w:numPr>
        <w:spacing w:before="0" w:beforeAutospacing="0" w:after="0" w:afterAutospacing="0"/>
        <w:rPr>
          <w:color w:val="404040"/>
        </w:rPr>
      </w:pPr>
      <w:r w:rsidRPr="0096002D">
        <w:rPr>
          <w:rStyle w:val="Strong"/>
          <w:rFonts w:eastAsiaTheme="majorEastAsia"/>
          <w:color w:val="404040"/>
        </w:rPr>
        <w:t>Systemisk partiskhet</w:t>
      </w:r>
      <w:r w:rsidRPr="0096002D">
        <w:rPr>
          <w:color w:val="404040"/>
        </w:rPr>
        <w:t>: FN:s oproportionerliga fokus på Israel, med en lång historia av resolutioner som fördömer landet samtidigt som allvarliga brott mot mänskliga rättigheter i andra delar av världen förbises, illustrerar hur politiska agendor styr dess handlingar.</w:t>
      </w:r>
    </w:p>
    <w:p w14:paraId="575F92F5" w14:textId="77777777" w:rsidR="0096002D" w:rsidRPr="0096002D" w:rsidRDefault="0096002D" w:rsidP="0096002D">
      <w:pPr>
        <w:pStyle w:val="NormalWeb"/>
        <w:numPr>
          <w:ilvl w:val="0"/>
          <w:numId w:val="22"/>
        </w:numPr>
        <w:spacing w:before="0" w:beforeAutospacing="0" w:after="0" w:afterAutospacing="0"/>
        <w:rPr>
          <w:color w:val="404040"/>
        </w:rPr>
      </w:pPr>
      <w:r w:rsidRPr="0096002D">
        <w:rPr>
          <w:rStyle w:val="Strong"/>
          <w:rFonts w:eastAsiaTheme="majorEastAsia"/>
          <w:color w:val="404040"/>
        </w:rPr>
        <w:lastRenderedPageBreak/>
        <w:t>Korruptionsskandaler</w:t>
      </w:r>
      <w:r w:rsidRPr="0096002D">
        <w:rPr>
          <w:color w:val="404040"/>
        </w:rPr>
        <w:t>: Flera FN-organ, som </w:t>
      </w:r>
      <w:r w:rsidRPr="0096002D">
        <w:rPr>
          <w:rStyle w:val="Strong"/>
          <w:rFonts w:eastAsiaTheme="majorEastAsia"/>
          <w:color w:val="404040"/>
        </w:rPr>
        <w:t>Oil-for-Food-programmet</w:t>
      </w:r>
      <w:r w:rsidRPr="0096002D">
        <w:rPr>
          <w:color w:val="404040"/>
        </w:rPr>
        <w:t>, har dras in i korruptionsskandaler, vilket har undergrävt organisationens trovärdighet och lett till misskötsel av kritiska medel.</w:t>
      </w:r>
    </w:p>
    <w:p w14:paraId="0895A124" w14:textId="77777777" w:rsidR="0096002D" w:rsidRPr="0096002D" w:rsidRDefault="0096002D" w:rsidP="0096002D">
      <w:pPr>
        <w:pStyle w:val="NormalWeb"/>
        <w:rPr>
          <w:color w:val="404040"/>
        </w:rPr>
      </w:pPr>
      <w:r w:rsidRPr="0096002D">
        <w:rPr>
          <w:rStyle w:val="Strong"/>
          <w:rFonts w:eastAsiaTheme="majorEastAsia"/>
          <w:color w:val="404040"/>
        </w:rPr>
        <w:t>2. Ineffektivitet i att förhindra konflikter</w:t>
      </w:r>
      <w:r w:rsidRPr="0096002D">
        <w:rPr>
          <w:color w:val="404040"/>
        </w:rPr>
        <w:br/>
        <w:t>Trots att FN grundades för att förhindra krig har det i stort sett misslyckats med att stoppa betydande konflikter, såsom:</w:t>
      </w:r>
    </w:p>
    <w:p w14:paraId="6F539746" w14:textId="77777777" w:rsidR="0096002D" w:rsidRPr="0096002D" w:rsidRDefault="0096002D" w:rsidP="0096002D">
      <w:pPr>
        <w:pStyle w:val="NormalWeb"/>
        <w:numPr>
          <w:ilvl w:val="0"/>
          <w:numId w:val="23"/>
        </w:numPr>
        <w:spacing w:before="0" w:beforeAutospacing="0" w:after="0" w:afterAutospacing="0"/>
        <w:rPr>
          <w:color w:val="404040"/>
        </w:rPr>
      </w:pPr>
      <w:r w:rsidRPr="0096002D">
        <w:rPr>
          <w:rStyle w:val="Strong"/>
          <w:rFonts w:eastAsiaTheme="majorEastAsia"/>
          <w:color w:val="404040"/>
        </w:rPr>
        <w:t>Rwanda (1994)</w:t>
      </w:r>
      <w:r w:rsidRPr="0096002D">
        <w:rPr>
          <w:color w:val="404040"/>
        </w:rPr>
        <w:t>: FN misslyckades med att agera beslutsamt under folkmordet, vilket ledde till nästan en miljon döda.</w:t>
      </w:r>
    </w:p>
    <w:p w14:paraId="74DF5748" w14:textId="77777777" w:rsidR="0096002D" w:rsidRPr="0096002D" w:rsidRDefault="0096002D" w:rsidP="0096002D">
      <w:pPr>
        <w:pStyle w:val="NormalWeb"/>
        <w:numPr>
          <w:ilvl w:val="0"/>
          <w:numId w:val="23"/>
        </w:numPr>
        <w:spacing w:before="0" w:beforeAutospacing="0" w:after="0" w:afterAutospacing="0"/>
        <w:rPr>
          <w:color w:val="404040"/>
        </w:rPr>
      </w:pPr>
      <w:r w:rsidRPr="0096002D">
        <w:rPr>
          <w:rStyle w:val="Strong"/>
          <w:rFonts w:eastAsiaTheme="majorEastAsia"/>
          <w:color w:val="404040"/>
        </w:rPr>
        <w:t>Syrien (2011–nutid)</w:t>
      </w:r>
      <w:r w:rsidRPr="0096002D">
        <w:rPr>
          <w:color w:val="404040"/>
        </w:rPr>
        <w:t>: Trots år av inbördeskrig och humanitära kriser har FN inte kunnat skapa en varaktig fred.</w:t>
      </w:r>
    </w:p>
    <w:p w14:paraId="372452ED" w14:textId="77777777" w:rsidR="0096002D" w:rsidRPr="0096002D" w:rsidRDefault="0096002D" w:rsidP="0096002D">
      <w:pPr>
        <w:pStyle w:val="NormalWeb"/>
        <w:numPr>
          <w:ilvl w:val="0"/>
          <w:numId w:val="23"/>
        </w:numPr>
        <w:spacing w:before="0" w:beforeAutospacing="0" w:after="0" w:afterAutospacing="0"/>
        <w:rPr>
          <w:color w:val="404040"/>
        </w:rPr>
      </w:pPr>
      <w:r w:rsidRPr="0096002D">
        <w:rPr>
          <w:rStyle w:val="Strong"/>
          <w:rFonts w:eastAsiaTheme="majorEastAsia"/>
          <w:color w:val="404040"/>
        </w:rPr>
        <w:t>Ukraina (2022–nutid)</w:t>
      </w:r>
      <w:r w:rsidRPr="0096002D">
        <w:rPr>
          <w:color w:val="404040"/>
        </w:rPr>
        <w:t>: FN har spelat en minimal roll i hanteringen av en av de största konflikterna i Europa sedan andra världskriget.</w:t>
      </w:r>
    </w:p>
    <w:p w14:paraId="078E2BFD" w14:textId="77777777" w:rsidR="0096002D" w:rsidRPr="0096002D" w:rsidRDefault="0096002D" w:rsidP="0096002D">
      <w:pPr>
        <w:pStyle w:val="NormalWeb"/>
        <w:rPr>
          <w:color w:val="404040"/>
        </w:rPr>
      </w:pPr>
      <w:r w:rsidRPr="0096002D">
        <w:rPr>
          <w:rStyle w:val="Strong"/>
          <w:rFonts w:eastAsiaTheme="majorEastAsia"/>
          <w:color w:val="404040"/>
        </w:rPr>
        <w:t>3. Erosion av nationell suveränitet</w:t>
      </w:r>
      <w:r w:rsidRPr="0096002D">
        <w:rPr>
          <w:color w:val="404040"/>
        </w:rPr>
        <w:br/>
        <w:t>FN ses ofta som en organisation som främjar en </w:t>
      </w:r>
      <w:r w:rsidRPr="0096002D">
        <w:rPr>
          <w:rStyle w:val="Strong"/>
          <w:rFonts w:eastAsiaTheme="majorEastAsia"/>
          <w:color w:val="404040"/>
        </w:rPr>
        <w:t>globalistisk agenda</w:t>
      </w:r>
      <w:r w:rsidRPr="0096002D">
        <w:rPr>
          <w:color w:val="404040"/>
        </w:rPr>
        <w:t> som underminerar nationell suveränitet genom att:</w:t>
      </w:r>
    </w:p>
    <w:p w14:paraId="743A2CDF" w14:textId="77777777" w:rsidR="0096002D" w:rsidRPr="0096002D" w:rsidRDefault="0096002D" w:rsidP="0096002D">
      <w:pPr>
        <w:pStyle w:val="NormalWeb"/>
        <w:numPr>
          <w:ilvl w:val="0"/>
          <w:numId w:val="24"/>
        </w:numPr>
        <w:spacing w:before="0" w:beforeAutospacing="0" w:after="0" w:afterAutospacing="0"/>
        <w:rPr>
          <w:color w:val="404040"/>
        </w:rPr>
      </w:pPr>
      <w:r w:rsidRPr="0096002D">
        <w:rPr>
          <w:color w:val="404040"/>
        </w:rPr>
        <w:t>Införa policyer på medlemsstater genom </w:t>
      </w:r>
      <w:r w:rsidRPr="0096002D">
        <w:rPr>
          <w:rStyle w:val="Strong"/>
          <w:rFonts w:eastAsiaTheme="majorEastAsia"/>
          <w:color w:val="404040"/>
        </w:rPr>
        <w:t>icke-bindande avtal</w:t>
      </w:r>
      <w:r w:rsidRPr="0096002D">
        <w:rPr>
          <w:color w:val="404040"/>
        </w:rPr>
        <w:t> som senare påverkar nationell lagstiftning.</w:t>
      </w:r>
    </w:p>
    <w:p w14:paraId="76D86E67" w14:textId="77777777" w:rsidR="0096002D" w:rsidRPr="0096002D" w:rsidRDefault="0096002D" w:rsidP="0096002D">
      <w:pPr>
        <w:pStyle w:val="NormalWeb"/>
        <w:numPr>
          <w:ilvl w:val="0"/>
          <w:numId w:val="24"/>
        </w:numPr>
        <w:spacing w:before="0" w:beforeAutospacing="0" w:after="0" w:afterAutospacing="0"/>
        <w:rPr>
          <w:color w:val="404040"/>
        </w:rPr>
      </w:pPr>
      <w:r w:rsidRPr="0096002D">
        <w:rPr>
          <w:color w:val="404040"/>
        </w:rPr>
        <w:t>Främja internationella ramverk, som </w:t>
      </w:r>
      <w:r w:rsidRPr="0096002D">
        <w:rPr>
          <w:rStyle w:val="Strong"/>
          <w:rFonts w:eastAsiaTheme="majorEastAsia"/>
          <w:color w:val="404040"/>
        </w:rPr>
        <w:t>Agenda 2030</w:t>
      </w:r>
      <w:r w:rsidRPr="0096002D">
        <w:rPr>
          <w:color w:val="404040"/>
        </w:rPr>
        <w:t>, som många kritiker ser som försök att införa enhetliga sociala, ekonomiska och miljömässiga standarder utan hänsyn till nationella förutsättningar.</w:t>
      </w:r>
    </w:p>
    <w:p w14:paraId="68106E4F" w14:textId="77777777" w:rsidR="0096002D" w:rsidRPr="0096002D" w:rsidRDefault="0096002D" w:rsidP="0096002D">
      <w:pPr>
        <w:pStyle w:val="NormalWeb"/>
        <w:rPr>
          <w:color w:val="404040"/>
        </w:rPr>
      </w:pPr>
      <w:r w:rsidRPr="0096002D">
        <w:rPr>
          <w:rStyle w:val="Strong"/>
          <w:rFonts w:eastAsiaTheme="majorEastAsia"/>
          <w:color w:val="404040"/>
        </w:rPr>
        <w:t>4. Byråkratisk ineffektivitet</w:t>
      </w:r>
      <w:r w:rsidRPr="0096002D">
        <w:rPr>
          <w:color w:val="404040"/>
        </w:rPr>
        <w:br/>
        <w:t>FN:s </w:t>
      </w:r>
      <w:r w:rsidRPr="0096002D">
        <w:rPr>
          <w:rStyle w:val="Strong"/>
          <w:rFonts w:eastAsiaTheme="majorEastAsia"/>
          <w:color w:val="404040"/>
        </w:rPr>
        <w:t>uppblåsta byråkrati</w:t>
      </w:r>
      <w:r w:rsidRPr="0096002D">
        <w:rPr>
          <w:color w:val="404040"/>
        </w:rPr>
        <w:t> har varit ett stort hinder för effektivt handlande.</w:t>
      </w:r>
    </w:p>
    <w:p w14:paraId="5964C781" w14:textId="77777777" w:rsidR="0096002D" w:rsidRPr="0096002D" w:rsidRDefault="0096002D" w:rsidP="0096002D">
      <w:pPr>
        <w:pStyle w:val="NormalWeb"/>
        <w:numPr>
          <w:ilvl w:val="0"/>
          <w:numId w:val="25"/>
        </w:numPr>
        <w:spacing w:before="0" w:beforeAutospacing="0" w:after="0" w:afterAutospacing="0"/>
        <w:rPr>
          <w:color w:val="404040"/>
        </w:rPr>
      </w:pPr>
      <w:r w:rsidRPr="0096002D">
        <w:rPr>
          <w:rStyle w:val="Strong"/>
          <w:rFonts w:eastAsiaTheme="majorEastAsia"/>
          <w:color w:val="404040"/>
        </w:rPr>
        <w:t>Långsam beslutsfattande</w:t>
      </w:r>
      <w:r w:rsidRPr="0096002D">
        <w:rPr>
          <w:color w:val="404040"/>
        </w:rPr>
        <w:t>: Kritiska resolutioner tar ofta månader eller år att antas, och då kan situationen på marken ha försämrats eller förändrats helt.</w:t>
      </w:r>
    </w:p>
    <w:p w14:paraId="0A4694E8" w14:textId="77777777" w:rsidR="0096002D" w:rsidRPr="0096002D" w:rsidRDefault="0096002D" w:rsidP="0096002D">
      <w:pPr>
        <w:pStyle w:val="NormalWeb"/>
        <w:numPr>
          <w:ilvl w:val="0"/>
          <w:numId w:val="25"/>
        </w:numPr>
        <w:spacing w:before="0" w:beforeAutospacing="0" w:after="0" w:afterAutospacing="0"/>
        <w:rPr>
          <w:color w:val="404040"/>
        </w:rPr>
      </w:pPr>
      <w:r w:rsidRPr="0096002D">
        <w:rPr>
          <w:rStyle w:val="Strong"/>
          <w:rFonts w:eastAsiaTheme="majorEastAsia"/>
          <w:color w:val="404040"/>
        </w:rPr>
        <w:t>Höga operativa kostnader</w:t>
      </w:r>
      <w:r w:rsidRPr="0096002D">
        <w:rPr>
          <w:color w:val="404040"/>
        </w:rPr>
        <w:t>: En betydande del av FN:s budget går till administrativa utgifter istället för direkt bistånd eller insatser.</w:t>
      </w:r>
    </w:p>
    <w:p w14:paraId="50CB311E" w14:textId="77777777" w:rsidR="0096002D" w:rsidRPr="0096002D" w:rsidRDefault="0096002D" w:rsidP="0096002D">
      <w:pPr>
        <w:pStyle w:val="NormalWeb"/>
        <w:rPr>
          <w:color w:val="404040"/>
        </w:rPr>
      </w:pPr>
      <w:r w:rsidRPr="0096002D">
        <w:rPr>
          <w:rStyle w:val="Strong"/>
          <w:rFonts w:eastAsiaTheme="majorEastAsia"/>
          <w:color w:val="404040"/>
        </w:rPr>
        <w:t>Global Cooperation &amp; Advisory Council (GCAC): En ny ram</w:t>
      </w:r>
    </w:p>
    <w:p w14:paraId="1E282584" w14:textId="77777777" w:rsidR="0096002D" w:rsidRPr="0096002D" w:rsidRDefault="0096002D" w:rsidP="0096002D">
      <w:pPr>
        <w:pStyle w:val="NormalWeb"/>
        <w:rPr>
          <w:color w:val="404040"/>
        </w:rPr>
      </w:pPr>
      <w:r w:rsidRPr="0096002D">
        <w:rPr>
          <w:rStyle w:val="Strong"/>
          <w:rFonts w:eastAsiaTheme="majorEastAsia"/>
          <w:color w:val="404040"/>
        </w:rPr>
        <w:t>Kärnmål</w:t>
      </w:r>
      <w:r w:rsidRPr="0096002D">
        <w:rPr>
          <w:color w:val="404040"/>
        </w:rPr>
        <w:br/>
        <w:t>GCAC strävar efter att skapa en mer effektiv, rättvis och transparent modell för global styrning genom att fokusera på:</w:t>
      </w:r>
    </w:p>
    <w:p w14:paraId="0533F5B9" w14:textId="77777777" w:rsidR="0096002D" w:rsidRPr="0096002D" w:rsidRDefault="0096002D" w:rsidP="0096002D">
      <w:pPr>
        <w:pStyle w:val="NormalWeb"/>
        <w:numPr>
          <w:ilvl w:val="0"/>
          <w:numId w:val="26"/>
        </w:numPr>
        <w:spacing w:before="0" w:beforeAutospacing="0" w:after="0" w:afterAutospacing="0"/>
        <w:rPr>
          <w:color w:val="404040"/>
        </w:rPr>
      </w:pPr>
      <w:r w:rsidRPr="0096002D">
        <w:rPr>
          <w:rStyle w:val="Strong"/>
          <w:rFonts w:eastAsiaTheme="majorEastAsia"/>
          <w:color w:val="404040"/>
        </w:rPr>
        <w:t>Frivilligt samarbete</w:t>
      </w:r>
      <w:r w:rsidRPr="0096002D">
        <w:rPr>
          <w:color w:val="404040"/>
        </w:rPr>
        <w:t>: Nationer deltar i initiativ av egen vilja, inte genom tvång, vilket säkerställer respekt för suveränitet.</w:t>
      </w:r>
    </w:p>
    <w:p w14:paraId="35667999" w14:textId="77777777" w:rsidR="0096002D" w:rsidRPr="0096002D" w:rsidRDefault="0096002D" w:rsidP="0096002D">
      <w:pPr>
        <w:pStyle w:val="NormalWeb"/>
        <w:numPr>
          <w:ilvl w:val="0"/>
          <w:numId w:val="26"/>
        </w:numPr>
        <w:spacing w:before="0" w:beforeAutospacing="0" w:after="0" w:afterAutospacing="0"/>
        <w:rPr>
          <w:color w:val="404040"/>
        </w:rPr>
      </w:pPr>
      <w:r w:rsidRPr="0096002D">
        <w:rPr>
          <w:rStyle w:val="Strong"/>
          <w:rFonts w:eastAsiaTheme="majorEastAsia"/>
          <w:color w:val="404040"/>
        </w:rPr>
        <w:t>Regional autonomi</w:t>
      </w:r>
      <w:r w:rsidRPr="0096002D">
        <w:rPr>
          <w:color w:val="404040"/>
        </w:rPr>
        <w:t>: Regionala råd hanterar lokala frågor, vilket minskar bördan på en centraliserad global organisation.</w:t>
      </w:r>
    </w:p>
    <w:p w14:paraId="3753AFAF" w14:textId="77777777" w:rsidR="0096002D" w:rsidRPr="0096002D" w:rsidRDefault="0096002D" w:rsidP="0096002D">
      <w:pPr>
        <w:pStyle w:val="NormalWeb"/>
        <w:numPr>
          <w:ilvl w:val="0"/>
          <w:numId w:val="26"/>
        </w:numPr>
        <w:spacing w:before="0" w:beforeAutospacing="0" w:after="0" w:afterAutospacing="0"/>
        <w:rPr>
          <w:color w:val="404040"/>
        </w:rPr>
      </w:pPr>
      <w:r w:rsidRPr="0096002D">
        <w:rPr>
          <w:rStyle w:val="Strong"/>
          <w:rFonts w:eastAsiaTheme="majorEastAsia"/>
          <w:color w:val="404040"/>
        </w:rPr>
        <w:t>Transparens och ansvarsskyldighet</w:t>
      </w:r>
      <w:r w:rsidRPr="0096002D">
        <w:rPr>
          <w:color w:val="404040"/>
        </w:rPr>
        <w:t>: All verksamhet granskas oberoende och rapporteras offentligt.</w:t>
      </w:r>
    </w:p>
    <w:p w14:paraId="2087A2E5" w14:textId="77777777" w:rsidR="0096002D" w:rsidRPr="0096002D" w:rsidRDefault="0096002D" w:rsidP="0096002D">
      <w:pPr>
        <w:pStyle w:val="NormalWeb"/>
        <w:numPr>
          <w:ilvl w:val="0"/>
          <w:numId w:val="26"/>
        </w:numPr>
        <w:spacing w:before="0" w:beforeAutospacing="0" w:after="0" w:afterAutospacing="0"/>
        <w:rPr>
          <w:color w:val="404040"/>
        </w:rPr>
      </w:pPr>
      <w:r w:rsidRPr="0096002D">
        <w:rPr>
          <w:rStyle w:val="Strong"/>
          <w:rFonts w:eastAsiaTheme="majorEastAsia"/>
          <w:color w:val="404040"/>
        </w:rPr>
        <w:t>Effektiv krisrespons</w:t>
      </w:r>
      <w:r w:rsidRPr="0096002D">
        <w:rPr>
          <w:color w:val="404040"/>
        </w:rPr>
        <w:t>: GCAC är utformat för att snabbt reagera på globala kriser genom specialiserade task forces och en fredsbevarande styrka med strikta kriterier för insatser.</w:t>
      </w:r>
    </w:p>
    <w:p w14:paraId="0E80E843" w14:textId="77777777" w:rsidR="0096002D" w:rsidRPr="0096002D" w:rsidRDefault="0096002D" w:rsidP="0096002D">
      <w:pPr>
        <w:pStyle w:val="NormalWeb"/>
        <w:rPr>
          <w:color w:val="404040"/>
        </w:rPr>
      </w:pPr>
      <w:r w:rsidRPr="0096002D">
        <w:rPr>
          <w:rStyle w:val="Strong"/>
          <w:rFonts w:eastAsiaTheme="majorEastAsia"/>
          <w:color w:val="404040"/>
        </w:rPr>
        <w:t>Struktur för GCAC</w:t>
      </w:r>
    </w:p>
    <w:p w14:paraId="025B073E" w14:textId="77777777" w:rsidR="0096002D" w:rsidRPr="0096002D" w:rsidRDefault="0096002D" w:rsidP="0096002D">
      <w:pPr>
        <w:pStyle w:val="NormalWeb"/>
        <w:rPr>
          <w:color w:val="404040"/>
        </w:rPr>
      </w:pPr>
      <w:r w:rsidRPr="0096002D">
        <w:rPr>
          <w:rStyle w:val="Strong"/>
          <w:rFonts w:eastAsiaTheme="majorEastAsia"/>
          <w:color w:val="404040"/>
        </w:rPr>
        <w:lastRenderedPageBreak/>
        <w:t>1. Regionala samarbetsråd (RCCs)</w:t>
      </w:r>
      <w:r w:rsidRPr="0096002D">
        <w:rPr>
          <w:color w:val="404040"/>
        </w:rPr>
        <w:br/>
        <w:t>GCAC opererar genom sex </w:t>
      </w:r>
      <w:r w:rsidRPr="0096002D">
        <w:rPr>
          <w:rStyle w:val="Strong"/>
          <w:rFonts w:eastAsiaTheme="majorEastAsia"/>
          <w:color w:val="404040"/>
        </w:rPr>
        <w:t>regionala samarbetsråd (RCCs)</w:t>
      </w:r>
      <w:r w:rsidRPr="0096002D">
        <w:rPr>
          <w:color w:val="404040"/>
        </w:rPr>
        <w:t>:</w:t>
      </w:r>
    </w:p>
    <w:p w14:paraId="79319223" w14:textId="77777777" w:rsidR="0096002D" w:rsidRPr="0096002D" w:rsidRDefault="0096002D" w:rsidP="0096002D">
      <w:pPr>
        <w:pStyle w:val="NormalWeb"/>
        <w:numPr>
          <w:ilvl w:val="0"/>
          <w:numId w:val="27"/>
        </w:numPr>
        <w:spacing w:before="0" w:beforeAutospacing="0" w:after="0" w:afterAutospacing="0"/>
        <w:rPr>
          <w:color w:val="404040"/>
        </w:rPr>
      </w:pPr>
      <w:r w:rsidRPr="0096002D">
        <w:rPr>
          <w:rStyle w:val="Strong"/>
          <w:rFonts w:eastAsiaTheme="majorEastAsia"/>
          <w:color w:val="404040"/>
        </w:rPr>
        <w:t>Afrika</w:t>
      </w:r>
    </w:p>
    <w:p w14:paraId="7DC046E5" w14:textId="77777777" w:rsidR="0096002D" w:rsidRPr="0096002D" w:rsidRDefault="0096002D" w:rsidP="0096002D">
      <w:pPr>
        <w:pStyle w:val="NormalWeb"/>
        <w:numPr>
          <w:ilvl w:val="0"/>
          <w:numId w:val="27"/>
        </w:numPr>
        <w:spacing w:before="0" w:beforeAutospacing="0" w:after="0" w:afterAutospacing="0"/>
        <w:rPr>
          <w:color w:val="404040"/>
        </w:rPr>
      </w:pPr>
      <w:r w:rsidRPr="0096002D">
        <w:rPr>
          <w:rStyle w:val="Strong"/>
          <w:rFonts w:eastAsiaTheme="majorEastAsia"/>
          <w:color w:val="404040"/>
        </w:rPr>
        <w:t>Asien</w:t>
      </w:r>
    </w:p>
    <w:p w14:paraId="546CAB76" w14:textId="77777777" w:rsidR="0096002D" w:rsidRPr="0096002D" w:rsidRDefault="0096002D" w:rsidP="0096002D">
      <w:pPr>
        <w:pStyle w:val="NormalWeb"/>
        <w:numPr>
          <w:ilvl w:val="0"/>
          <w:numId w:val="27"/>
        </w:numPr>
        <w:spacing w:before="0" w:beforeAutospacing="0" w:after="0" w:afterAutospacing="0"/>
        <w:rPr>
          <w:color w:val="404040"/>
        </w:rPr>
      </w:pPr>
      <w:r w:rsidRPr="0096002D">
        <w:rPr>
          <w:rStyle w:val="Strong"/>
          <w:rFonts w:eastAsiaTheme="majorEastAsia"/>
          <w:color w:val="404040"/>
        </w:rPr>
        <w:t>Europa</w:t>
      </w:r>
    </w:p>
    <w:p w14:paraId="67FAB9D6" w14:textId="77777777" w:rsidR="0096002D" w:rsidRPr="0096002D" w:rsidRDefault="0096002D" w:rsidP="0096002D">
      <w:pPr>
        <w:pStyle w:val="NormalWeb"/>
        <w:numPr>
          <w:ilvl w:val="0"/>
          <w:numId w:val="27"/>
        </w:numPr>
        <w:spacing w:before="0" w:beforeAutospacing="0" w:after="0" w:afterAutospacing="0"/>
        <w:rPr>
          <w:color w:val="404040"/>
        </w:rPr>
      </w:pPr>
      <w:r w:rsidRPr="0096002D">
        <w:rPr>
          <w:rStyle w:val="Strong"/>
          <w:rFonts w:eastAsiaTheme="majorEastAsia"/>
          <w:color w:val="404040"/>
        </w:rPr>
        <w:t>Amerika</w:t>
      </w:r>
    </w:p>
    <w:p w14:paraId="18B83D22" w14:textId="77777777" w:rsidR="0096002D" w:rsidRPr="0096002D" w:rsidRDefault="0096002D" w:rsidP="0096002D">
      <w:pPr>
        <w:pStyle w:val="NormalWeb"/>
        <w:numPr>
          <w:ilvl w:val="0"/>
          <w:numId w:val="27"/>
        </w:numPr>
        <w:spacing w:before="0" w:beforeAutospacing="0" w:after="0" w:afterAutospacing="0"/>
        <w:rPr>
          <w:color w:val="404040"/>
        </w:rPr>
      </w:pPr>
      <w:r w:rsidRPr="0096002D">
        <w:rPr>
          <w:rStyle w:val="Strong"/>
          <w:rFonts w:eastAsiaTheme="majorEastAsia"/>
          <w:color w:val="404040"/>
        </w:rPr>
        <w:t>Mellanöstern</w:t>
      </w:r>
    </w:p>
    <w:p w14:paraId="6F0DF486" w14:textId="77777777" w:rsidR="0096002D" w:rsidRPr="0096002D" w:rsidRDefault="0096002D" w:rsidP="0096002D">
      <w:pPr>
        <w:pStyle w:val="NormalWeb"/>
        <w:numPr>
          <w:ilvl w:val="0"/>
          <w:numId w:val="27"/>
        </w:numPr>
        <w:spacing w:before="0" w:beforeAutospacing="0" w:after="0" w:afterAutospacing="0"/>
        <w:rPr>
          <w:color w:val="404040"/>
        </w:rPr>
      </w:pPr>
      <w:r w:rsidRPr="0096002D">
        <w:rPr>
          <w:rStyle w:val="Strong"/>
          <w:rFonts w:eastAsiaTheme="majorEastAsia"/>
          <w:color w:val="404040"/>
        </w:rPr>
        <w:t>Oceanien</w:t>
      </w:r>
    </w:p>
    <w:p w14:paraId="056ABB35" w14:textId="77777777" w:rsidR="0096002D" w:rsidRPr="0096002D" w:rsidRDefault="0096002D" w:rsidP="0096002D">
      <w:pPr>
        <w:pStyle w:val="NormalWeb"/>
        <w:rPr>
          <w:color w:val="404040"/>
        </w:rPr>
      </w:pPr>
      <w:r w:rsidRPr="0096002D">
        <w:rPr>
          <w:rStyle w:val="Strong"/>
          <w:rFonts w:eastAsiaTheme="majorEastAsia"/>
          <w:color w:val="404040"/>
        </w:rPr>
        <w:t>Roll för RCCs</w:t>
      </w:r>
      <w:r w:rsidRPr="0096002D">
        <w:rPr>
          <w:color w:val="404040"/>
        </w:rPr>
        <w:t>:</w:t>
      </w:r>
    </w:p>
    <w:p w14:paraId="6A9CA3C3" w14:textId="77777777" w:rsidR="0096002D" w:rsidRPr="0096002D" w:rsidRDefault="0096002D" w:rsidP="0096002D">
      <w:pPr>
        <w:pStyle w:val="NormalWeb"/>
        <w:numPr>
          <w:ilvl w:val="0"/>
          <w:numId w:val="28"/>
        </w:numPr>
        <w:spacing w:before="0" w:beforeAutospacing="0" w:after="0" w:afterAutospacing="0"/>
        <w:rPr>
          <w:color w:val="404040"/>
        </w:rPr>
      </w:pPr>
      <w:r w:rsidRPr="0096002D">
        <w:rPr>
          <w:color w:val="404040"/>
        </w:rPr>
        <w:t>Hanterar lokal styrning, ekonomisk utveckling och konfliktlösning inom sina regioner.</w:t>
      </w:r>
    </w:p>
    <w:p w14:paraId="164362EF" w14:textId="77777777" w:rsidR="0096002D" w:rsidRPr="0096002D" w:rsidRDefault="0096002D" w:rsidP="0096002D">
      <w:pPr>
        <w:pStyle w:val="NormalWeb"/>
        <w:numPr>
          <w:ilvl w:val="0"/>
          <w:numId w:val="28"/>
        </w:numPr>
        <w:spacing w:before="0" w:beforeAutospacing="0" w:after="0" w:afterAutospacing="0"/>
        <w:rPr>
          <w:color w:val="404040"/>
        </w:rPr>
      </w:pPr>
      <w:r w:rsidRPr="0096002D">
        <w:rPr>
          <w:color w:val="404040"/>
        </w:rPr>
        <w:t>Samordnar med GCAC i frågor som kräver bredare samarbete.</w:t>
      </w:r>
    </w:p>
    <w:p w14:paraId="32371E4D" w14:textId="77777777" w:rsidR="0096002D" w:rsidRPr="0096002D" w:rsidRDefault="0096002D" w:rsidP="0096002D">
      <w:pPr>
        <w:pStyle w:val="NormalWeb"/>
        <w:rPr>
          <w:color w:val="404040"/>
        </w:rPr>
      </w:pPr>
      <w:r w:rsidRPr="0096002D">
        <w:rPr>
          <w:rStyle w:val="Strong"/>
          <w:rFonts w:eastAsiaTheme="majorEastAsia"/>
          <w:color w:val="404040"/>
        </w:rPr>
        <w:t>Röstning i RCCs</w:t>
      </w:r>
      <w:r w:rsidRPr="0096002D">
        <w:rPr>
          <w:color w:val="404040"/>
        </w:rPr>
        <w:t>:</w:t>
      </w:r>
    </w:p>
    <w:p w14:paraId="079241A6" w14:textId="77777777" w:rsidR="0096002D" w:rsidRPr="0096002D" w:rsidRDefault="0096002D" w:rsidP="0096002D">
      <w:pPr>
        <w:pStyle w:val="NormalWeb"/>
        <w:numPr>
          <w:ilvl w:val="0"/>
          <w:numId w:val="29"/>
        </w:numPr>
        <w:spacing w:before="0" w:beforeAutospacing="0" w:after="0" w:afterAutospacing="0"/>
        <w:rPr>
          <w:color w:val="404040"/>
        </w:rPr>
      </w:pPr>
      <w:r w:rsidRPr="0096002D">
        <w:rPr>
          <w:color w:val="404040"/>
        </w:rPr>
        <w:t>Beslut kräver en </w:t>
      </w:r>
      <w:r w:rsidRPr="0096002D">
        <w:rPr>
          <w:rStyle w:val="Strong"/>
          <w:rFonts w:eastAsiaTheme="majorEastAsia"/>
          <w:color w:val="404040"/>
        </w:rPr>
        <w:t>dubbel tröskel</w:t>
      </w:r>
      <w:r w:rsidRPr="0096002D">
        <w:rPr>
          <w:color w:val="404040"/>
        </w:rPr>
        <w:t>: majoritet av stater plus majoritet av den regionala befolkningen, vilket säkerställer balanserad representation.</w:t>
      </w:r>
    </w:p>
    <w:p w14:paraId="10ED3056" w14:textId="77777777" w:rsidR="0096002D" w:rsidRPr="0096002D" w:rsidRDefault="0096002D" w:rsidP="0096002D">
      <w:pPr>
        <w:pStyle w:val="NormalWeb"/>
        <w:rPr>
          <w:color w:val="404040"/>
        </w:rPr>
      </w:pPr>
      <w:r w:rsidRPr="0096002D">
        <w:rPr>
          <w:rStyle w:val="Strong"/>
          <w:rFonts w:eastAsiaTheme="majorEastAsia"/>
          <w:color w:val="404040"/>
        </w:rPr>
        <w:t>2. Globalt rådgivande och handlingsråd (GAAC)</w:t>
      </w:r>
      <w:r w:rsidRPr="0096002D">
        <w:rPr>
          <w:color w:val="404040"/>
        </w:rPr>
        <w:br/>
      </w:r>
      <w:r w:rsidRPr="0096002D">
        <w:rPr>
          <w:rStyle w:val="Strong"/>
          <w:rFonts w:eastAsiaTheme="majorEastAsia"/>
          <w:color w:val="404040"/>
        </w:rPr>
        <w:t>GAAC</w:t>
      </w:r>
      <w:r w:rsidRPr="0096002D">
        <w:rPr>
          <w:color w:val="404040"/>
        </w:rPr>
        <w:t> är den centrala organisationen som ansvarar för globalt beslutsfattande och samordning.</w:t>
      </w:r>
    </w:p>
    <w:p w14:paraId="7663FB1A" w14:textId="77777777" w:rsidR="0096002D" w:rsidRPr="0096002D" w:rsidRDefault="0096002D" w:rsidP="0096002D">
      <w:pPr>
        <w:pStyle w:val="NormalWeb"/>
        <w:numPr>
          <w:ilvl w:val="0"/>
          <w:numId w:val="30"/>
        </w:numPr>
        <w:spacing w:before="0" w:beforeAutospacing="0" w:after="0" w:afterAutospacing="0"/>
        <w:rPr>
          <w:color w:val="404040"/>
        </w:rPr>
      </w:pPr>
      <w:r w:rsidRPr="0096002D">
        <w:rPr>
          <w:rStyle w:val="Strong"/>
          <w:rFonts w:eastAsiaTheme="majorEastAsia"/>
          <w:color w:val="404040"/>
        </w:rPr>
        <w:t>Sammansättning</w:t>
      </w:r>
      <w:r w:rsidRPr="0096002D">
        <w:rPr>
          <w:color w:val="404040"/>
        </w:rPr>
        <w:t>: Består av delegater från varje RCC:s styrelse.</w:t>
      </w:r>
    </w:p>
    <w:p w14:paraId="74A5068F" w14:textId="77777777" w:rsidR="0096002D" w:rsidRPr="0096002D" w:rsidRDefault="0096002D" w:rsidP="0096002D">
      <w:pPr>
        <w:pStyle w:val="NormalWeb"/>
        <w:numPr>
          <w:ilvl w:val="0"/>
          <w:numId w:val="30"/>
        </w:numPr>
        <w:spacing w:before="0" w:beforeAutospacing="0" w:after="0" w:afterAutospacing="0"/>
        <w:rPr>
          <w:color w:val="404040"/>
        </w:rPr>
      </w:pPr>
      <w:r w:rsidRPr="0096002D">
        <w:rPr>
          <w:rStyle w:val="Strong"/>
          <w:rFonts w:eastAsiaTheme="majorEastAsia"/>
          <w:color w:val="404040"/>
        </w:rPr>
        <w:t>Rotationsledarskap</w:t>
      </w:r>
      <w:r w:rsidRPr="0096002D">
        <w:rPr>
          <w:color w:val="404040"/>
        </w:rPr>
        <w:t>: Säkerställer att ingen enskild region eller makt kan dominera processen.</w:t>
      </w:r>
    </w:p>
    <w:p w14:paraId="79F98E5D" w14:textId="77777777" w:rsidR="0096002D" w:rsidRPr="0096002D" w:rsidRDefault="0096002D" w:rsidP="0096002D">
      <w:pPr>
        <w:pStyle w:val="NormalWeb"/>
        <w:rPr>
          <w:color w:val="404040"/>
        </w:rPr>
      </w:pPr>
      <w:r w:rsidRPr="0096002D">
        <w:rPr>
          <w:rStyle w:val="Strong"/>
          <w:rFonts w:eastAsiaTheme="majorEastAsia"/>
          <w:color w:val="404040"/>
        </w:rPr>
        <w:t>Semi-bindande resolutioner</w:t>
      </w:r>
      <w:r w:rsidRPr="0096002D">
        <w:rPr>
          <w:color w:val="404040"/>
        </w:rPr>
        <w:t>:</w:t>
      </w:r>
    </w:p>
    <w:p w14:paraId="75D76DB5" w14:textId="77777777" w:rsidR="0096002D" w:rsidRPr="0096002D" w:rsidRDefault="0096002D" w:rsidP="0096002D">
      <w:pPr>
        <w:pStyle w:val="NormalWeb"/>
        <w:numPr>
          <w:ilvl w:val="0"/>
          <w:numId w:val="31"/>
        </w:numPr>
        <w:spacing w:before="0" w:beforeAutospacing="0" w:after="0" w:afterAutospacing="0"/>
        <w:rPr>
          <w:color w:val="404040"/>
        </w:rPr>
      </w:pPr>
      <w:r w:rsidRPr="0096002D">
        <w:rPr>
          <w:color w:val="404040"/>
        </w:rPr>
        <w:t>I frågor av global betydelse (t.ex. pandemier, terrorism, klimatkriser) kan GAAC anta </w:t>
      </w:r>
      <w:r w:rsidRPr="0096002D">
        <w:rPr>
          <w:rStyle w:val="Strong"/>
          <w:rFonts w:eastAsiaTheme="majorEastAsia"/>
          <w:color w:val="404040"/>
        </w:rPr>
        <w:t>semi-bindande resolutioner</w:t>
      </w:r>
      <w:r w:rsidRPr="0096002D">
        <w:rPr>
          <w:color w:val="404040"/>
        </w:rPr>
        <w:t> med kvalificerad majoritet (t.ex. 70 % av medlemmarna).</w:t>
      </w:r>
    </w:p>
    <w:p w14:paraId="6498B68E" w14:textId="77777777" w:rsidR="0096002D" w:rsidRPr="0096002D" w:rsidRDefault="0096002D" w:rsidP="0096002D">
      <w:pPr>
        <w:pStyle w:val="NormalWeb"/>
        <w:numPr>
          <w:ilvl w:val="0"/>
          <w:numId w:val="31"/>
        </w:numPr>
        <w:spacing w:before="0" w:beforeAutospacing="0" w:after="0" w:afterAutospacing="0"/>
        <w:rPr>
          <w:color w:val="404040"/>
        </w:rPr>
      </w:pPr>
      <w:r w:rsidRPr="0096002D">
        <w:rPr>
          <w:color w:val="404040"/>
        </w:rPr>
        <w:t>Nationer kan välja att stå utanför, men då förlorar de vissa GCAC-fördelar, såsom finansiering eller teknisk assistans.</w:t>
      </w:r>
    </w:p>
    <w:p w14:paraId="51A064E3" w14:textId="77777777" w:rsidR="0096002D" w:rsidRPr="0096002D" w:rsidRDefault="0096002D" w:rsidP="0096002D">
      <w:pPr>
        <w:pStyle w:val="NormalWeb"/>
        <w:rPr>
          <w:color w:val="404040"/>
        </w:rPr>
      </w:pPr>
      <w:r w:rsidRPr="0096002D">
        <w:rPr>
          <w:rStyle w:val="Strong"/>
          <w:rFonts w:eastAsiaTheme="majorEastAsia"/>
          <w:color w:val="404040"/>
        </w:rPr>
        <w:t>3. Kriskoordinerande task forces (CCTFs)</w:t>
      </w:r>
      <w:r w:rsidRPr="0096002D">
        <w:rPr>
          <w:color w:val="404040"/>
        </w:rPr>
        <w:br/>
        <w:t>CCTFs är tillfälliga enheter som bildas för att hantera specifika kriser.</w:t>
      </w:r>
    </w:p>
    <w:p w14:paraId="114B499C" w14:textId="77777777" w:rsidR="0096002D" w:rsidRPr="0096002D" w:rsidRDefault="0096002D" w:rsidP="0096002D">
      <w:pPr>
        <w:pStyle w:val="NormalWeb"/>
        <w:numPr>
          <w:ilvl w:val="0"/>
          <w:numId w:val="32"/>
        </w:numPr>
        <w:spacing w:before="0" w:beforeAutospacing="0" w:after="0" w:afterAutospacing="0"/>
        <w:rPr>
          <w:color w:val="404040"/>
        </w:rPr>
      </w:pPr>
      <w:r w:rsidRPr="0096002D">
        <w:rPr>
          <w:rStyle w:val="Strong"/>
          <w:rFonts w:eastAsiaTheme="majorEastAsia"/>
          <w:color w:val="404040"/>
        </w:rPr>
        <w:t>Aktivering</w:t>
      </w:r>
      <w:r w:rsidRPr="0096002D">
        <w:rPr>
          <w:color w:val="404040"/>
        </w:rPr>
        <w:t>: Aktiveras genom GAAC-röstning eller på begäran av ett RCC.</w:t>
      </w:r>
    </w:p>
    <w:p w14:paraId="1053A3CA" w14:textId="77777777" w:rsidR="0096002D" w:rsidRPr="0096002D" w:rsidRDefault="0096002D" w:rsidP="0096002D">
      <w:pPr>
        <w:pStyle w:val="NormalWeb"/>
        <w:numPr>
          <w:ilvl w:val="0"/>
          <w:numId w:val="32"/>
        </w:numPr>
        <w:spacing w:before="0" w:beforeAutospacing="0" w:after="0" w:afterAutospacing="0"/>
        <w:rPr>
          <w:color w:val="404040"/>
        </w:rPr>
      </w:pPr>
      <w:r w:rsidRPr="0096002D">
        <w:rPr>
          <w:rStyle w:val="Strong"/>
          <w:rFonts w:eastAsiaTheme="majorEastAsia"/>
          <w:color w:val="404040"/>
        </w:rPr>
        <w:t>Sammansättning</w:t>
      </w:r>
      <w:r w:rsidRPr="0096002D">
        <w:rPr>
          <w:color w:val="404040"/>
        </w:rPr>
        <w:t>: Består av experter, tjänstemän och representanter från NGO:er och privat sektor.</w:t>
      </w:r>
    </w:p>
    <w:p w14:paraId="73BF461C" w14:textId="77777777" w:rsidR="0096002D" w:rsidRPr="0096002D" w:rsidRDefault="0096002D" w:rsidP="0096002D">
      <w:pPr>
        <w:pStyle w:val="NormalWeb"/>
        <w:numPr>
          <w:ilvl w:val="0"/>
          <w:numId w:val="32"/>
        </w:numPr>
        <w:spacing w:before="0" w:beforeAutospacing="0" w:after="0" w:afterAutospacing="0"/>
        <w:rPr>
          <w:color w:val="404040"/>
        </w:rPr>
      </w:pPr>
      <w:r w:rsidRPr="0096002D">
        <w:rPr>
          <w:rStyle w:val="Strong"/>
          <w:rFonts w:eastAsiaTheme="majorEastAsia"/>
          <w:color w:val="404040"/>
        </w:rPr>
        <w:t>Tidsbegränsat mandat</w:t>
      </w:r>
      <w:r w:rsidRPr="0096002D">
        <w:rPr>
          <w:color w:val="404040"/>
        </w:rPr>
        <w:t>: Verkar under ett tidsbegränsat mandat med tydliga mål och avslutskriterier.</w:t>
      </w:r>
    </w:p>
    <w:p w14:paraId="0BF19630" w14:textId="77777777" w:rsidR="0096002D" w:rsidRPr="0096002D" w:rsidRDefault="0096002D" w:rsidP="0096002D">
      <w:pPr>
        <w:pStyle w:val="NormalWeb"/>
        <w:rPr>
          <w:color w:val="404040"/>
        </w:rPr>
      </w:pPr>
      <w:r w:rsidRPr="0096002D">
        <w:rPr>
          <w:rStyle w:val="Strong"/>
          <w:rFonts w:eastAsiaTheme="majorEastAsia"/>
          <w:color w:val="404040"/>
        </w:rPr>
        <w:t>4. Global stabiliseringsstyrka (GSF)</w:t>
      </w:r>
      <w:r w:rsidRPr="0096002D">
        <w:rPr>
          <w:color w:val="404040"/>
        </w:rPr>
        <w:br/>
        <w:t>Den </w:t>
      </w:r>
      <w:r w:rsidRPr="0096002D">
        <w:rPr>
          <w:rStyle w:val="Strong"/>
          <w:rFonts w:eastAsiaTheme="majorEastAsia"/>
          <w:color w:val="404040"/>
        </w:rPr>
        <w:t>globala stabiliseringsstyrkan (GSF)</w:t>
      </w:r>
      <w:r w:rsidRPr="0096002D">
        <w:rPr>
          <w:color w:val="404040"/>
        </w:rPr>
        <w:t> är en frivillig fredsbevarande enhet som ska förhindra eller begränsa konflikter.</w:t>
      </w:r>
    </w:p>
    <w:p w14:paraId="4E1B6636" w14:textId="77777777" w:rsidR="0096002D" w:rsidRPr="0096002D" w:rsidRDefault="0096002D" w:rsidP="0096002D">
      <w:pPr>
        <w:pStyle w:val="NormalWeb"/>
        <w:numPr>
          <w:ilvl w:val="0"/>
          <w:numId w:val="33"/>
        </w:numPr>
        <w:spacing w:before="0" w:beforeAutospacing="0" w:after="60" w:afterAutospacing="0"/>
        <w:rPr>
          <w:color w:val="404040"/>
        </w:rPr>
      </w:pPr>
      <w:r w:rsidRPr="0096002D">
        <w:rPr>
          <w:rStyle w:val="Strong"/>
          <w:rFonts w:eastAsiaTheme="majorEastAsia"/>
          <w:color w:val="404040"/>
        </w:rPr>
        <w:lastRenderedPageBreak/>
        <w:t>Insatskriterier</w:t>
      </w:r>
      <w:r w:rsidRPr="0096002D">
        <w:rPr>
          <w:color w:val="404040"/>
        </w:rPr>
        <w:t>:</w:t>
      </w:r>
    </w:p>
    <w:p w14:paraId="0C2CF6FE" w14:textId="77777777" w:rsidR="0096002D" w:rsidRPr="0096002D" w:rsidRDefault="0096002D" w:rsidP="0096002D">
      <w:pPr>
        <w:pStyle w:val="NormalWeb"/>
        <w:numPr>
          <w:ilvl w:val="1"/>
          <w:numId w:val="33"/>
        </w:numPr>
        <w:spacing w:before="0" w:beforeAutospacing="0" w:after="0" w:afterAutospacing="0"/>
        <w:rPr>
          <w:color w:val="404040"/>
        </w:rPr>
      </w:pPr>
      <w:r w:rsidRPr="0096002D">
        <w:rPr>
          <w:color w:val="404040"/>
        </w:rPr>
        <w:t>Skickas endast ut med värdlandets samtycke eller efter beslut med kvalificerad majoritet i GAAC vid gränsöverskridande kriser.</w:t>
      </w:r>
    </w:p>
    <w:p w14:paraId="340C2BCA" w14:textId="77777777" w:rsidR="0096002D" w:rsidRPr="0096002D" w:rsidRDefault="0096002D" w:rsidP="0096002D">
      <w:pPr>
        <w:pStyle w:val="NormalWeb"/>
        <w:numPr>
          <w:ilvl w:val="0"/>
          <w:numId w:val="33"/>
        </w:numPr>
        <w:spacing w:before="0" w:beforeAutospacing="0" w:after="60" w:afterAutospacing="0"/>
        <w:rPr>
          <w:color w:val="404040"/>
        </w:rPr>
      </w:pPr>
      <w:r w:rsidRPr="0096002D">
        <w:rPr>
          <w:rStyle w:val="Strong"/>
          <w:rFonts w:eastAsiaTheme="majorEastAsia"/>
          <w:color w:val="404040"/>
        </w:rPr>
        <w:t>Struktur</w:t>
      </w:r>
      <w:r w:rsidRPr="0096002D">
        <w:rPr>
          <w:color w:val="404040"/>
        </w:rPr>
        <w:t>:</w:t>
      </w:r>
    </w:p>
    <w:p w14:paraId="51F8C317" w14:textId="77777777" w:rsidR="0096002D" w:rsidRPr="0096002D" w:rsidRDefault="0096002D" w:rsidP="0096002D">
      <w:pPr>
        <w:pStyle w:val="NormalWeb"/>
        <w:numPr>
          <w:ilvl w:val="1"/>
          <w:numId w:val="33"/>
        </w:numPr>
        <w:spacing w:before="0" w:beforeAutospacing="0" w:after="0" w:afterAutospacing="0"/>
        <w:rPr>
          <w:color w:val="404040"/>
        </w:rPr>
      </w:pPr>
      <w:r w:rsidRPr="0096002D">
        <w:rPr>
          <w:color w:val="404040"/>
        </w:rPr>
        <w:t>Består av frivilliga truppbidrag från medlemsstater.</w:t>
      </w:r>
    </w:p>
    <w:p w14:paraId="4F6139F9" w14:textId="77777777" w:rsidR="0096002D" w:rsidRPr="0096002D" w:rsidRDefault="0096002D" w:rsidP="0096002D">
      <w:pPr>
        <w:pStyle w:val="NormalWeb"/>
        <w:numPr>
          <w:ilvl w:val="1"/>
          <w:numId w:val="33"/>
        </w:numPr>
        <w:spacing w:before="0" w:beforeAutospacing="0" w:after="0" w:afterAutospacing="0"/>
        <w:rPr>
          <w:color w:val="404040"/>
        </w:rPr>
      </w:pPr>
      <w:r w:rsidRPr="0096002D">
        <w:rPr>
          <w:color w:val="404040"/>
        </w:rPr>
        <w:t>Gemensamt hanterad av GAAC och berörda RCC.</w:t>
      </w:r>
    </w:p>
    <w:p w14:paraId="5FF9DF85" w14:textId="77777777" w:rsidR="0096002D" w:rsidRPr="0096002D" w:rsidRDefault="0096002D" w:rsidP="0096002D">
      <w:pPr>
        <w:pStyle w:val="NormalWeb"/>
        <w:numPr>
          <w:ilvl w:val="0"/>
          <w:numId w:val="33"/>
        </w:numPr>
        <w:spacing w:before="0" w:beforeAutospacing="0" w:after="0" w:afterAutospacing="0"/>
        <w:rPr>
          <w:color w:val="404040"/>
        </w:rPr>
      </w:pPr>
      <w:r w:rsidRPr="0096002D">
        <w:rPr>
          <w:rStyle w:val="Strong"/>
          <w:rFonts w:eastAsiaTheme="majorEastAsia"/>
          <w:color w:val="404040"/>
        </w:rPr>
        <w:t>Avslutsstrategi</w:t>
      </w:r>
      <w:r w:rsidRPr="0096002D">
        <w:rPr>
          <w:color w:val="404040"/>
        </w:rPr>
        <w:t>: Insatsen avslutas när fördefinierade freds- och stabilitetsmål uppnås.</w:t>
      </w:r>
    </w:p>
    <w:p w14:paraId="1000D7E6" w14:textId="77777777" w:rsidR="0096002D" w:rsidRPr="0096002D" w:rsidRDefault="0096002D" w:rsidP="0096002D">
      <w:pPr>
        <w:pStyle w:val="NormalWeb"/>
        <w:rPr>
          <w:color w:val="404040"/>
        </w:rPr>
      </w:pPr>
      <w:r w:rsidRPr="0096002D">
        <w:rPr>
          <w:rStyle w:val="Strong"/>
          <w:rFonts w:eastAsiaTheme="majorEastAsia"/>
          <w:color w:val="404040"/>
        </w:rPr>
        <w:t>Säkerställa ansvarsskyldighet och transparens</w:t>
      </w:r>
    </w:p>
    <w:p w14:paraId="0B673939" w14:textId="77777777" w:rsidR="0096002D" w:rsidRPr="0096002D" w:rsidRDefault="0096002D" w:rsidP="0096002D">
      <w:pPr>
        <w:pStyle w:val="NormalWeb"/>
        <w:numPr>
          <w:ilvl w:val="0"/>
          <w:numId w:val="34"/>
        </w:numPr>
        <w:spacing w:before="0" w:beforeAutospacing="0" w:after="60" w:afterAutospacing="0"/>
        <w:rPr>
          <w:color w:val="404040"/>
        </w:rPr>
      </w:pPr>
      <w:r w:rsidRPr="0096002D">
        <w:rPr>
          <w:rStyle w:val="Strong"/>
          <w:rFonts w:eastAsiaTheme="majorEastAsia"/>
          <w:color w:val="404040"/>
        </w:rPr>
        <w:t>Oberoende revisioner</w:t>
      </w:r>
      <w:r w:rsidRPr="0096002D">
        <w:rPr>
          <w:color w:val="404040"/>
        </w:rPr>
        <w:t>:</w:t>
      </w:r>
    </w:p>
    <w:p w14:paraId="120AE8B2" w14:textId="77777777" w:rsidR="0096002D" w:rsidRPr="0096002D" w:rsidRDefault="0096002D" w:rsidP="0096002D">
      <w:pPr>
        <w:pStyle w:val="NormalWeb"/>
        <w:numPr>
          <w:ilvl w:val="1"/>
          <w:numId w:val="34"/>
        </w:numPr>
        <w:spacing w:before="0" w:beforeAutospacing="0" w:after="0" w:afterAutospacing="0"/>
        <w:rPr>
          <w:color w:val="404040"/>
        </w:rPr>
      </w:pPr>
      <w:r w:rsidRPr="0096002D">
        <w:rPr>
          <w:color w:val="404040"/>
        </w:rPr>
        <w:t>All GCAC-verksamhet granskas årligen av en oberoende myndighet, och rapporterna görs offentligt tillgängliga.</w:t>
      </w:r>
    </w:p>
    <w:p w14:paraId="478DB5DA" w14:textId="77777777" w:rsidR="0096002D" w:rsidRPr="0096002D" w:rsidRDefault="0096002D" w:rsidP="0096002D">
      <w:pPr>
        <w:pStyle w:val="NormalWeb"/>
        <w:numPr>
          <w:ilvl w:val="0"/>
          <w:numId w:val="34"/>
        </w:numPr>
        <w:spacing w:before="0" w:beforeAutospacing="0" w:after="60" w:afterAutospacing="0"/>
        <w:rPr>
          <w:color w:val="404040"/>
        </w:rPr>
      </w:pPr>
      <w:r w:rsidRPr="0096002D">
        <w:rPr>
          <w:rStyle w:val="Strong"/>
          <w:rFonts w:eastAsiaTheme="majorEastAsia"/>
          <w:color w:val="404040"/>
        </w:rPr>
        <w:t>Offentlig rapportering</w:t>
      </w:r>
      <w:r w:rsidRPr="0096002D">
        <w:rPr>
          <w:color w:val="404040"/>
        </w:rPr>
        <w:t>:</w:t>
      </w:r>
    </w:p>
    <w:p w14:paraId="22864716" w14:textId="77777777" w:rsidR="0096002D" w:rsidRPr="0096002D" w:rsidRDefault="0096002D" w:rsidP="0096002D">
      <w:pPr>
        <w:pStyle w:val="NormalWeb"/>
        <w:numPr>
          <w:ilvl w:val="1"/>
          <w:numId w:val="34"/>
        </w:numPr>
        <w:spacing w:before="0" w:beforeAutospacing="0" w:after="0" w:afterAutospacing="0"/>
        <w:rPr>
          <w:color w:val="404040"/>
        </w:rPr>
      </w:pPr>
      <w:r w:rsidRPr="0096002D">
        <w:rPr>
          <w:color w:val="404040"/>
        </w:rPr>
        <w:t>Digitala plattformar ger realtidsuppdateringar om GCAC:s verksamhet, finansiering och krisinsatser.</w:t>
      </w:r>
    </w:p>
    <w:p w14:paraId="1461D722" w14:textId="77777777" w:rsidR="0096002D" w:rsidRPr="0096002D" w:rsidRDefault="0096002D" w:rsidP="0096002D">
      <w:pPr>
        <w:pStyle w:val="NormalWeb"/>
        <w:numPr>
          <w:ilvl w:val="0"/>
          <w:numId w:val="34"/>
        </w:numPr>
        <w:spacing w:before="0" w:beforeAutospacing="0" w:after="60" w:afterAutospacing="0"/>
        <w:rPr>
          <w:color w:val="404040"/>
        </w:rPr>
      </w:pPr>
      <w:r w:rsidRPr="0096002D">
        <w:rPr>
          <w:rStyle w:val="Strong"/>
          <w:rFonts w:eastAsiaTheme="majorEastAsia"/>
          <w:color w:val="404040"/>
        </w:rPr>
        <w:t>Civilt engagemang</w:t>
      </w:r>
      <w:r w:rsidRPr="0096002D">
        <w:rPr>
          <w:color w:val="404040"/>
        </w:rPr>
        <w:t>:</w:t>
      </w:r>
    </w:p>
    <w:p w14:paraId="0886F96A" w14:textId="77777777" w:rsidR="0096002D" w:rsidRPr="0096002D" w:rsidRDefault="0096002D" w:rsidP="0096002D">
      <w:pPr>
        <w:pStyle w:val="NormalWeb"/>
        <w:numPr>
          <w:ilvl w:val="1"/>
          <w:numId w:val="34"/>
        </w:numPr>
        <w:spacing w:before="0" w:beforeAutospacing="0" w:after="0" w:afterAutospacing="0"/>
        <w:rPr>
          <w:color w:val="404040"/>
        </w:rPr>
      </w:pPr>
      <w:r w:rsidRPr="0096002D">
        <w:rPr>
          <w:color w:val="404040"/>
        </w:rPr>
        <w:t>Civilsamhällesorganisationer, media och allmänheten kan observera GCAC:s processer och bidra med feedback.</w:t>
      </w:r>
    </w:p>
    <w:p w14:paraId="3D1B049D" w14:textId="77777777" w:rsidR="0096002D" w:rsidRPr="0096002D" w:rsidRDefault="0096002D" w:rsidP="0096002D">
      <w:pPr>
        <w:pStyle w:val="NormalWeb"/>
        <w:rPr>
          <w:color w:val="404040"/>
        </w:rPr>
      </w:pPr>
      <w:r w:rsidRPr="0096002D">
        <w:rPr>
          <w:rStyle w:val="Strong"/>
          <w:rFonts w:eastAsiaTheme="majorEastAsia"/>
          <w:color w:val="404040"/>
        </w:rPr>
        <w:t>Adressering av viktiga frågor</w:t>
      </w:r>
    </w:p>
    <w:p w14:paraId="508CE236" w14:textId="77777777" w:rsidR="0096002D" w:rsidRPr="0096002D" w:rsidRDefault="0096002D" w:rsidP="0096002D">
      <w:pPr>
        <w:pStyle w:val="NormalWeb"/>
        <w:rPr>
          <w:color w:val="404040"/>
        </w:rPr>
      </w:pPr>
      <w:r w:rsidRPr="0096002D">
        <w:rPr>
          <w:rStyle w:val="Strong"/>
          <w:rFonts w:eastAsiaTheme="majorEastAsia"/>
          <w:color w:val="404040"/>
        </w:rPr>
        <w:t>1. Förstärkta efterlevnadsmekanismer</w:t>
      </w:r>
      <w:r w:rsidRPr="0096002D">
        <w:rPr>
          <w:color w:val="404040"/>
        </w:rPr>
        <w:br/>
      </w:r>
      <w:r w:rsidRPr="0096002D">
        <w:rPr>
          <w:rStyle w:val="Strong"/>
          <w:rFonts w:eastAsiaTheme="majorEastAsia"/>
          <w:color w:val="404040"/>
        </w:rPr>
        <w:t>Förbättrad offentlig ansvarsskyldighet och reputationspåverkan</w:t>
      </w:r>
      <w:r w:rsidRPr="0096002D">
        <w:rPr>
          <w:color w:val="404040"/>
        </w:rPr>
        <w:t>:</w:t>
      </w:r>
    </w:p>
    <w:p w14:paraId="47CF1007" w14:textId="77777777" w:rsidR="0096002D" w:rsidRPr="0096002D" w:rsidRDefault="0096002D" w:rsidP="0096002D">
      <w:pPr>
        <w:pStyle w:val="NormalWeb"/>
        <w:numPr>
          <w:ilvl w:val="0"/>
          <w:numId w:val="35"/>
        </w:numPr>
        <w:spacing w:before="0" w:beforeAutospacing="0" w:after="0" w:afterAutospacing="0"/>
        <w:rPr>
          <w:color w:val="404040"/>
        </w:rPr>
      </w:pPr>
      <w:r w:rsidRPr="0096002D">
        <w:rPr>
          <w:color w:val="404040"/>
        </w:rPr>
        <w:t>Inför </w:t>
      </w:r>
      <w:r w:rsidRPr="0096002D">
        <w:rPr>
          <w:rStyle w:val="Strong"/>
          <w:rFonts w:eastAsiaTheme="majorEastAsia"/>
          <w:color w:val="404040"/>
        </w:rPr>
        <w:t>offentliga efterlevnadspoängkort</w:t>
      </w:r>
      <w:r w:rsidRPr="0096002D">
        <w:rPr>
          <w:color w:val="404040"/>
        </w:rPr>
        <w:t>: Nationers efterlevnad av GCAC-resolutioner rapporteras och rankas offentligt, vilket påverkar deras internationella rykte.</w:t>
      </w:r>
    </w:p>
    <w:p w14:paraId="6DA6B149" w14:textId="77777777" w:rsidR="0096002D" w:rsidRPr="0096002D" w:rsidRDefault="0096002D" w:rsidP="0096002D">
      <w:pPr>
        <w:pStyle w:val="NormalWeb"/>
        <w:numPr>
          <w:ilvl w:val="0"/>
          <w:numId w:val="35"/>
        </w:numPr>
        <w:spacing w:before="0" w:beforeAutospacing="0" w:after="0" w:afterAutospacing="0"/>
        <w:rPr>
          <w:color w:val="404040"/>
        </w:rPr>
      </w:pPr>
      <w:r w:rsidRPr="0096002D">
        <w:rPr>
          <w:color w:val="404040"/>
        </w:rPr>
        <w:t>Upprätta ett </w:t>
      </w:r>
      <w:r w:rsidRPr="0096002D">
        <w:rPr>
          <w:rStyle w:val="Strong"/>
          <w:rFonts w:eastAsiaTheme="majorEastAsia"/>
          <w:color w:val="404040"/>
        </w:rPr>
        <w:t>Globalt efterlevnadsforum</w:t>
      </w:r>
      <w:r w:rsidRPr="0096002D">
        <w:rPr>
          <w:color w:val="404040"/>
        </w:rPr>
        <w:t> där stater kan förklara sitt icke-efterlevnad eller föreslå alternativa lösningar.</w:t>
      </w:r>
    </w:p>
    <w:p w14:paraId="2EEC2812" w14:textId="77777777" w:rsidR="0096002D" w:rsidRPr="0096002D" w:rsidRDefault="0096002D" w:rsidP="0096002D">
      <w:pPr>
        <w:pStyle w:val="NormalWeb"/>
        <w:rPr>
          <w:color w:val="404040"/>
        </w:rPr>
      </w:pPr>
      <w:r w:rsidRPr="0096002D">
        <w:rPr>
          <w:rStyle w:val="Strong"/>
          <w:rFonts w:eastAsiaTheme="majorEastAsia"/>
          <w:color w:val="404040"/>
        </w:rPr>
        <w:t>Involvering av icke-statliga aktörer</w:t>
      </w:r>
      <w:r w:rsidRPr="0096002D">
        <w:rPr>
          <w:color w:val="404040"/>
        </w:rPr>
        <w:t>:</w:t>
      </w:r>
    </w:p>
    <w:p w14:paraId="34C9F941" w14:textId="77777777" w:rsidR="0096002D" w:rsidRPr="0096002D" w:rsidRDefault="0096002D" w:rsidP="0096002D">
      <w:pPr>
        <w:pStyle w:val="NormalWeb"/>
        <w:numPr>
          <w:ilvl w:val="0"/>
          <w:numId w:val="36"/>
        </w:numPr>
        <w:spacing w:before="0" w:beforeAutospacing="0" w:after="0" w:afterAutospacing="0"/>
        <w:rPr>
          <w:color w:val="404040"/>
        </w:rPr>
      </w:pPr>
      <w:r w:rsidRPr="0096002D">
        <w:rPr>
          <w:color w:val="404040"/>
        </w:rPr>
        <w:t>Uppmuntra </w:t>
      </w:r>
      <w:r w:rsidRPr="0096002D">
        <w:rPr>
          <w:rStyle w:val="Strong"/>
          <w:rFonts w:eastAsiaTheme="majorEastAsia"/>
          <w:color w:val="404040"/>
        </w:rPr>
        <w:t>multinationella företag, NGO:er och civilsamhällesorganisationer</w:t>
      </w:r>
      <w:r w:rsidRPr="0096002D">
        <w:rPr>
          <w:color w:val="404040"/>
        </w:rPr>
        <w:t> att hålla stater ansvariga genom att knyta samarbeten till en nations efterlevnadsgrad.</w:t>
      </w:r>
    </w:p>
    <w:p w14:paraId="436C0DBA" w14:textId="77777777" w:rsidR="0096002D" w:rsidRPr="0096002D" w:rsidRDefault="0096002D" w:rsidP="0096002D">
      <w:pPr>
        <w:pStyle w:val="NormalWeb"/>
        <w:numPr>
          <w:ilvl w:val="0"/>
          <w:numId w:val="36"/>
        </w:numPr>
        <w:spacing w:before="0" w:beforeAutospacing="0" w:after="0" w:afterAutospacing="0"/>
        <w:rPr>
          <w:color w:val="404040"/>
        </w:rPr>
      </w:pPr>
      <w:r w:rsidRPr="0096002D">
        <w:rPr>
          <w:color w:val="404040"/>
        </w:rPr>
        <w:t>Utveckla ett </w:t>
      </w:r>
      <w:r w:rsidRPr="0096002D">
        <w:rPr>
          <w:rStyle w:val="Strong"/>
          <w:rFonts w:eastAsiaTheme="majorEastAsia"/>
          <w:color w:val="404040"/>
        </w:rPr>
        <w:t>Globalt partnerskapsnätverk</w:t>
      </w:r>
      <w:r w:rsidRPr="0096002D">
        <w:rPr>
          <w:color w:val="404040"/>
        </w:rPr>
        <w:t> där företag och NGO:er som arbetar för GCAC:s mål (t.ex. klimatåtgärder) får erkännande och incitament.</w:t>
      </w:r>
    </w:p>
    <w:p w14:paraId="23576D9E" w14:textId="77777777" w:rsidR="0096002D" w:rsidRPr="0096002D" w:rsidRDefault="0096002D" w:rsidP="0096002D">
      <w:pPr>
        <w:pStyle w:val="NormalWeb"/>
        <w:rPr>
          <w:color w:val="404040"/>
        </w:rPr>
      </w:pPr>
      <w:r w:rsidRPr="0096002D">
        <w:rPr>
          <w:rStyle w:val="Strong"/>
          <w:rFonts w:eastAsiaTheme="majorEastAsia"/>
          <w:color w:val="404040"/>
        </w:rPr>
        <w:t>Incentiverade deltagandemekanismer</w:t>
      </w:r>
      <w:r w:rsidRPr="0096002D">
        <w:rPr>
          <w:color w:val="404040"/>
        </w:rPr>
        <w:t>:</w:t>
      </w:r>
    </w:p>
    <w:p w14:paraId="6C150017" w14:textId="77777777" w:rsidR="0096002D" w:rsidRPr="0096002D" w:rsidRDefault="0096002D" w:rsidP="0096002D">
      <w:pPr>
        <w:pStyle w:val="NormalWeb"/>
        <w:numPr>
          <w:ilvl w:val="0"/>
          <w:numId w:val="37"/>
        </w:numPr>
        <w:spacing w:before="0" w:beforeAutospacing="0" w:after="0" w:afterAutospacing="0"/>
        <w:rPr>
          <w:color w:val="404040"/>
        </w:rPr>
      </w:pPr>
      <w:r w:rsidRPr="0096002D">
        <w:rPr>
          <w:color w:val="404040"/>
        </w:rPr>
        <w:t>Utöver att förlora privilegier kan nationer som följer viktiga initiativ få </w:t>
      </w:r>
      <w:r w:rsidRPr="0096002D">
        <w:rPr>
          <w:rStyle w:val="Strong"/>
          <w:rFonts w:eastAsiaTheme="majorEastAsia"/>
          <w:color w:val="404040"/>
        </w:rPr>
        <w:t>förmånsbehandling i handelspartnerskap</w:t>
      </w:r>
      <w:r w:rsidRPr="0096002D">
        <w:rPr>
          <w:color w:val="404040"/>
        </w:rPr>
        <w:t>, </w:t>
      </w:r>
      <w:r w:rsidRPr="0096002D">
        <w:rPr>
          <w:rStyle w:val="Strong"/>
          <w:rFonts w:eastAsiaTheme="majorEastAsia"/>
          <w:color w:val="404040"/>
        </w:rPr>
        <w:t>utvecklingsbidrag</w:t>
      </w:r>
      <w:r w:rsidRPr="0096002D">
        <w:rPr>
          <w:color w:val="404040"/>
        </w:rPr>
        <w:t> eller </w:t>
      </w:r>
      <w:r w:rsidRPr="0096002D">
        <w:rPr>
          <w:rStyle w:val="Strong"/>
          <w:rFonts w:eastAsiaTheme="majorEastAsia"/>
          <w:color w:val="404040"/>
        </w:rPr>
        <w:t>teknisk stöd</w:t>
      </w:r>
      <w:r w:rsidRPr="0096002D">
        <w:rPr>
          <w:color w:val="404040"/>
        </w:rPr>
        <w:t> via GCAC-initiativ.</w:t>
      </w:r>
    </w:p>
    <w:p w14:paraId="7CB16D4F" w14:textId="77777777" w:rsidR="0096002D" w:rsidRPr="0096002D" w:rsidRDefault="0096002D" w:rsidP="0096002D">
      <w:pPr>
        <w:pStyle w:val="NormalWeb"/>
        <w:numPr>
          <w:ilvl w:val="0"/>
          <w:numId w:val="37"/>
        </w:numPr>
        <w:spacing w:before="0" w:beforeAutospacing="0" w:after="0" w:afterAutospacing="0"/>
        <w:rPr>
          <w:color w:val="404040"/>
        </w:rPr>
      </w:pPr>
      <w:r w:rsidRPr="0096002D">
        <w:rPr>
          <w:color w:val="404040"/>
        </w:rPr>
        <w:t>Inför en </w:t>
      </w:r>
      <w:r w:rsidRPr="0096002D">
        <w:rPr>
          <w:rStyle w:val="Strong"/>
          <w:rFonts w:eastAsiaTheme="majorEastAsia"/>
          <w:color w:val="404040"/>
        </w:rPr>
        <w:t>återanslutningsväg</w:t>
      </w:r>
      <w:r w:rsidRPr="0096002D">
        <w:rPr>
          <w:color w:val="404040"/>
        </w:rPr>
        <w:t>: Nationer som väljer att stå utanför semi-bindande resolutioner kan återansluta sig senare genom att uppfylla specifika kriterier utan långsiktiga påföljder.</w:t>
      </w:r>
    </w:p>
    <w:p w14:paraId="3DBB72C0" w14:textId="77777777" w:rsidR="0096002D" w:rsidRPr="0096002D" w:rsidRDefault="0096002D" w:rsidP="0096002D">
      <w:pPr>
        <w:pStyle w:val="NormalWeb"/>
        <w:rPr>
          <w:color w:val="404040"/>
        </w:rPr>
      </w:pPr>
      <w:r w:rsidRPr="0096002D">
        <w:rPr>
          <w:rStyle w:val="Strong"/>
          <w:rFonts w:eastAsiaTheme="majorEastAsia"/>
          <w:color w:val="404040"/>
        </w:rPr>
        <w:t>2. Tydliggörande av krisdefinitioner</w:t>
      </w:r>
      <w:r w:rsidRPr="0096002D">
        <w:rPr>
          <w:color w:val="404040"/>
        </w:rPr>
        <w:br/>
      </w:r>
      <w:r w:rsidRPr="0096002D">
        <w:rPr>
          <w:rStyle w:val="Strong"/>
          <w:rFonts w:eastAsiaTheme="majorEastAsia"/>
          <w:color w:val="404040"/>
        </w:rPr>
        <w:t>Oberoende krisbedömningspanel (ICAP)</w:t>
      </w:r>
      <w:r w:rsidRPr="0096002D">
        <w:rPr>
          <w:color w:val="404040"/>
        </w:rPr>
        <w:t>:</w:t>
      </w:r>
    </w:p>
    <w:p w14:paraId="5B2DFDC0" w14:textId="77777777" w:rsidR="0096002D" w:rsidRPr="0096002D" w:rsidRDefault="0096002D" w:rsidP="0096002D">
      <w:pPr>
        <w:pStyle w:val="NormalWeb"/>
        <w:numPr>
          <w:ilvl w:val="0"/>
          <w:numId w:val="38"/>
        </w:numPr>
        <w:spacing w:before="0" w:beforeAutospacing="0" w:after="0" w:afterAutospacing="0"/>
        <w:rPr>
          <w:color w:val="404040"/>
        </w:rPr>
      </w:pPr>
      <w:r w:rsidRPr="0096002D">
        <w:rPr>
          <w:color w:val="404040"/>
        </w:rPr>
        <w:lastRenderedPageBreak/>
        <w:t>Upprätta en </w:t>
      </w:r>
      <w:r w:rsidRPr="0096002D">
        <w:rPr>
          <w:rStyle w:val="Strong"/>
          <w:rFonts w:eastAsiaTheme="majorEastAsia"/>
          <w:color w:val="404040"/>
        </w:rPr>
        <w:t>oberoende, icke-politiskt expertpanel</w:t>
      </w:r>
      <w:r w:rsidRPr="0096002D">
        <w:rPr>
          <w:color w:val="404040"/>
        </w:rPr>
        <w:t> bestående av forskare, ekonomer och humanitära ledare för att bedöma potentiella kriser mot en </w:t>
      </w:r>
      <w:r w:rsidRPr="0096002D">
        <w:rPr>
          <w:rStyle w:val="Strong"/>
          <w:rFonts w:eastAsiaTheme="majorEastAsia"/>
          <w:color w:val="404040"/>
        </w:rPr>
        <w:t>fördefinierad uppsättning kriterier</w:t>
      </w:r>
      <w:r w:rsidRPr="0096002D">
        <w:rPr>
          <w:color w:val="404040"/>
        </w:rPr>
        <w:t>.</w:t>
      </w:r>
    </w:p>
    <w:p w14:paraId="0E6C8BF7" w14:textId="77777777" w:rsidR="0096002D" w:rsidRPr="0096002D" w:rsidRDefault="0096002D" w:rsidP="0096002D">
      <w:pPr>
        <w:pStyle w:val="NormalWeb"/>
        <w:numPr>
          <w:ilvl w:val="0"/>
          <w:numId w:val="38"/>
        </w:numPr>
        <w:spacing w:before="0" w:beforeAutospacing="0" w:after="0" w:afterAutospacing="0"/>
        <w:rPr>
          <w:color w:val="404040"/>
        </w:rPr>
      </w:pPr>
      <w:r w:rsidRPr="0096002D">
        <w:rPr>
          <w:color w:val="404040"/>
        </w:rPr>
        <w:t>ICAP:s resultat är rådgivande men fungerar som en viktig referens för RCCs och GAAC när de röstar om att deklarera en kris.</w:t>
      </w:r>
    </w:p>
    <w:p w14:paraId="754234B4" w14:textId="77777777" w:rsidR="0096002D" w:rsidRPr="0096002D" w:rsidRDefault="0096002D" w:rsidP="0096002D">
      <w:pPr>
        <w:pStyle w:val="NormalWeb"/>
        <w:rPr>
          <w:color w:val="404040"/>
        </w:rPr>
      </w:pPr>
      <w:r w:rsidRPr="0096002D">
        <w:rPr>
          <w:rStyle w:val="Strong"/>
          <w:rFonts w:eastAsiaTheme="majorEastAsia"/>
          <w:color w:val="404040"/>
        </w:rPr>
        <w:t>Krisallvarlighetsindex (CSI)</w:t>
      </w:r>
      <w:r w:rsidRPr="0096002D">
        <w:rPr>
          <w:color w:val="404040"/>
        </w:rPr>
        <w:t>:</w:t>
      </w:r>
    </w:p>
    <w:p w14:paraId="07ECE384" w14:textId="77777777" w:rsidR="0096002D" w:rsidRPr="0096002D" w:rsidRDefault="0096002D" w:rsidP="0096002D">
      <w:pPr>
        <w:pStyle w:val="NormalWeb"/>
        <w:numPr>
          <w:ilvl w:val="0"/>
          <w:numId w:val="39"/>
        </w:numPr>
        <w:spacing w:before="0" w:beforeAutospacing="0" w:after="0" w:afterAutospacing="0"/>
        <w:rPr>
          <w:color w:val="404040"/>
        </w:rPr>
      </w:pPr>
      <w:r w:rsidRPr="0096002D">
        <w:rPr>
          <w:color w:val="404040"/>
        </w:rPr>
        <w:t>Utveckla ett </w:t>
      </w:r>
      <w:r w:rsidRPr="0096002D">
        <w:rPr>
          <w:rStyle w:val="Strong"/>
          <w:rFonts w:eastAsiaTheme="majorEastAsia"/>
          <w:color w:val="404040"/>
        </w:rPr>
        <w:t>Krisallvarlighetsindex</w:t>
      </w:r>
      <w:r w:rsidRPr="0096002D">
        <w:rPr>
          <w:color w:val="404040"/>
        </w:rPr>
        <w:t> baserat på mätbara faktorer (t.ex. dödstal, ekonomisk påverkan, geografisk spridning).</w:t>
      </w:r>
    </w:p>
    <w:p w14:paraId="25E0F7AD" w14:textId="77777777" w:rsidR="0096002D" w:rsidRPr="0096002D" w:rsidRDefault="0096002D" w:rsidP="0096002D">
      <w:pPr>
        <w:pStyle w:val="NormalWeb"/>
        <w:numPr>
          <w:ilvl w:val="0"/>
          <w:numId w:val="39"/>
        </w:numPr>
        <w:spacing w:before="0" w:beforeAutospacing="0" w:after="0" w:afterAutospacing="0"/>
        <w:rPr>
          <w:color w:val="404040"/>
        </w:rPr>
      </w:pPr>
      <w:r w:rsidRPr="0096002D">
        <w:rPr>
          <w:color w:val="404040"/>
        </w:rPr>
        <w:t>Kriser som når över en viss tröskel i CSI skulle automatiskt utlösa en snabbomröstning i GAAC, vilket säkerställer snabba svar.</w:t>
      </w:r>
    </w:p>
    <w:p w14:paraId="428A6E95" w14:textId="77777777" w:rsidR="0096002D" w:rsidRPr="0096002D" w:rsidRDefault="0096002D" w:rsidP="0096002D">
      <w:pPr>
        <w:pStyle w:val="NormalWeb"/>
        <w:rPr>
          <w:color w:val="404040"/>
        </w:rPr>
      </w:pPr>
      <w:r w:rsidRPr="0096002D">
        <w:rPr>
          <w:rStyle w:val="Strong"/>
          <w:rFonts w:eastAsiaTheme="majorEastAsia"/>
          <w:color w:val="404040"/>
        </w:rPr>
        <w:t>Snabbspår för nödsituationer</w:t>
      </w:r>
      <w:r w:rsidRPr="0096002D">
        <w:rPr>
          <w:color w:val="404040"/>
        </w:rPr>
        <w:t>:</w:t>
      </w:r>
    </w:p>
    <w:p w14:paraId="53C10F96" w14:textId="77777777" w:rsidR="0096002D" w:rsidRPr="0096002D" w:rsidRDefault="0096002D" w:rsidP="0096002D">
      <w:pPr>
        <w:pStyle w:val="NormalWeb"/>
        <w:numPr>
          <w:ilvl w:val="0"/>
          <w:numId w:val="40"/>
        </w:numPr>
        <w:spacing w:before="0" w:beforeAutospacing="0" w:after="0" w:afterAutospacing="0"/>
        <w:rPr>
          <w:color w:val="404040"/>
        </w:rPr>
      </w:pPr>
      <w:r w:rsidRPr="0096002D">
        <w:rPr>
          <w:color w:val="404040"/>
        </w:rPr>
        <w:t>I akuta situationer kan ett </w:t>
      </w:r>
      <w:r w:rsidRPr="0096002D">
        <w:rPr>
          <w:rStyle w:val="Strong"/>
          <w:rFonts w:eastAsiaTheme="majorEastAsia"/>
          <w:color w:val="404040"/>
        </w:rPr>
        <w:t>nödsituationstillkännagivande</w:t>
      </w:r>
      <w:r w:rsidRPr="0096002D">
        <w:rPr>
          <w:color w:val="404040"/>
        </w:rPr>
        <w:t> initieras av vilket RCC som helst, med endast enkel majoritet i GAAC för att deklarera en kris.</w:t>
      </w:r>
    </w:p>
    <w:p w14:paraId="307FD5F2" w14:textId="77777777" w:rsidR="0096002D" w:rsidRPr="0096002D" w:rsidRDefault="0096002D" w:rsidP="0096002D">
      <w:pPr>
        <w:pStyle w:val="NormalWeb"/>
        <w:numPr>
          <w:ilvl w:val="0"/>
          <w:numId w:val="40"/>
        </w:numPr>
        <w:spacing w:before="0" w:beforeAutospacing="0" w:after="0" w:afterAutospacing="0"/>
        <w:rPr>
          <w:color w:val="404040"/>
        </w:rPr>
      </w:pPr>
      <w:r w:rsidRPr="0096002D">
        <w:rPr>
          <w:color w:val="404040"/>
        </w:rPr>
        <w:t>Deklarationen ger tillfällig auktoritet till en </w:t>
      </w:r>
      <w:r w:rsidRPr="0096002D">
        <w:rPr>
          <w:rStyle w:val="Strong"/>
          <w:rFonts w:eastAsiaTheme="majorEastAsia"/>
          <w:color w:val="404040"/>
        </w:rPr>
        <w:t>Crisis Coordination Task Force (CCTF)</w:t>
      </w:r>
      <w:r w:rsidRPr="0096002D">
        <w:rPr>
          <w:color w:val="404040"/>
        </w:rPr>
        <w:t> tills en formell omröstning kan hållas.</w:t>
      </w:r>
    </w:p>
    <w:p w14:paraId="333F6055" w14:textId="77777777" w:rsidR="0096002D" w:rsidRPr="0096002D" w:rsidRDefault="0096002D" w:rsidP="0096002D">
      <w:pPr>
        <w:pStyle w:val="NormalWeb"/>
        <w:rPr>
          <w:color w:val="404040"/>
        </w:rPr>
      </w:pPr>
      <w:r w:rsidRPr="0096002D">
        <w:rPr>
          <w:rStyle w:val="Strong"/>
          <w:rFonts w:eastAsiaTheme="majorEastAsia"/>
          <w:color w:val="404040"/>
        </w:rPr>
        <w:t>3. Övergång från FN</w:t>
      </w:r>
      <w:r w:rsidRPr="0096002D">
        <w:rPr>
          <w:color w:val="404040"/>
        </w:rPr>
        <w:br/>
      </w:r>
      <w:r w:rsidRPr="0096002D">
        <w:rPr>
          <w:rStyle w:val="Strong"/>
          <w:rFonts w:eastAsiaTheme="majorEastAsia"/>
          <w:color w:val="404040"/>
        </w:rPr>
        <w:t>Historisk kontext och utveckling</w:t>
      </w:r>
      <w:r w:rsidRPr="0096002D">
        <w:rPr>
          <w:color w:val="404040"/>
        </w:rPr>
        <w:t>:</w:t>
      </w:r>
    </w:p>
    <w:p w14:paraId="215F784B" w14:textId="77777777" w:rsidR="0096002D" w:rsidRPr="0096002D" w:rsidRDefault="0096002D" w:rsidP="0096002D">
      <w:pPr>
        <w:pStyle w:val="NormalWeb"/>
        <w:numPr>
          <w:ilvl w:val="0"/>
          <w:numId w:val="41"/>
        </w:numPr>
        <w:spacing w:before="0" w:beforeAutospacing="0" w:after="0" w:afterAutospacing="0"/>
        <w:rPr>
          <w:color w:val="404040"/>
        </w:rPr>
      </w:pPr>
      <w:r w:rsidRPr="0096002D">
        <w:rPr>
          <w:color w:val="404040"/>
        </w:rPr>
        <w:t>Dra paralleller mellan GCAC:s föreslagna övergång och utvecklingen från Nationernas förbund till FN, och betona att globala styrningsstrukturer kan och bör anpassas till förändrade världsbehov.</w:t>
      </w:r>
    </w:p>
    <w:p w14:paraId="66969FCC" w14:textId="77777777" w:rsidR="0096002D" w:rsidRPr="0096002D" w:rsidRDefault="0096002D" w:rsidP="0096002D">
      <w:pPr>
        <w:pStyle w:val="NormalWeb"/>
        <w:numPr>
          <w:ilvl w:val="0"/>
          <w:numId w:val="41"/>
        </w:numPr>
        <w:spacing w:before="0" w:beforeAutospacing="0" w:after="0" w:afterAutospacing="0"/>
        <w:rPr>
          <w:color w:val="404040"/>
        </w:rPr>
      </w:pPr>
      <w:r w:rsidRPr="0096002D">
        <w:rPr>
          <w:color w:val="404040"/>
        </w:rPr>
        <w:t>Belys hur GCAC bygger på FN:s framgångar samtidigt som det adresserar dess brister, och presentera det som ett naturligt nästa steg i globalt samarbete.</w:t>
      </w:r>
    </w:p>
    <w:p w14:paraId="3B7D4B0C" w14:textId="77777777" w:rsidR="0096002D" w:rsidRPr="0096002D" w:rsidRDefault="0096002D" w:rsidP="0096002D">
      <w:pPr>
        <w:pStyle w:val="NormalWeb"/>
        <w:rPr>
          <w:color w:val="404040"/>
        </w:rPr>
      </w:pPr>
      <w:r w:rsidRPr="0096002D">
        <w:rPr>
          <w:rStyle w:val="Strong"/>
          <w:rFonts w:eastAsiaTheme="majorEastAsia"/>
          <w:color w:val="404040"/>
        </w:rPr>
        <w:t>Offentlig utbildning och outreach</w:t>
      </w:r>
      <w:r w:rsidRPr="0096002D">
        <w:rPr>
          <w:color w:val="404040"/>
        </w:rPr>
        <w:t>:</w:t>
      </w:r>
    </w:p>
    <w:p w14:paraId="50B4E174" w14:textId="77777777" w:rsidR="0096002D" w:rsidRPr="0096002D" w:rsidRDefault="0096002D" w:rsidP="0096002D">
      <w:pPr>
        <w:pStyle w:val="NormalWeb"/>
        <w:numPr>
          <w:ilvl w:val="0"/>
          <w:numId w:val="42"/>
        </w:numPr>
        <w:spacing w:before="0" w:beforeAutospacing="0" w:after="0" w:afterAutospacing="0"/>
        <w:rPr>
          <w:color w:val="404040"/>
        </w:rPr>
      </w:pPr>
      <w:r w:rsidRPr="0096002D">
        <w:rPr>
          <w:color w:val="404040"/>
        </w:rPr>
        <w:t>Utveckla en omfattande </w:t>
      </w:r>
      <w:r w:rsidRPr="0096002D">
        <w:rPr>
          <w:rStyle w:val="Strong"/>
          <w:rFonts w:eastAsiaTheme="majorEastAsia"/>
          <w:color w:val="404040"/>
        </w:rPr>
        <w:t>offentlig utbildningskampanj</w:t>
      </w:r>
      <w:r w:rsidRPr="0096002D">
        <w:rPr>
          <w:color w:val="404040"/>
        </w:rPr>
        <w:t> för att informera medborgare globalt om GCAC:s struktur, fördelar och hur det skiljer sig från FN.</w:t>
      </w:r>
    </w:p>
    <w:p w14:paraId="4639EDAA" w14:textId="77777777" w:rsidR="0096002D" w:rsidRPr="0096002D" w:rsidRDefault="0096002D" w:rsidP="0096002D">
      <w:pPr>
        <w:pStyle w:val="NormalWeb"/>
        <w:numPr>
          <w:ilvl w:val="0"/>
          <w:numId w:val="42"/>
        </w:numPr>
        <w:spacing w:before="0" w:beforeAutospacing="0" w:after="0" w:afterAutospacing="0"/>
        <w:rPr>
          <w:color w:val="404040"/>
        </w:rPr>
      </w:pPr>
      <w:r w:rsidRPr="0096002D">
        <w:rPr>
          <w:color w:val="404040"/>
        </w:rPr>
        <w:t>Använd digitala plattformar, sociala medier och partnerskap med utbildningsinstitutioner för att nå en bred publik och främja offentligt stöd.</w:t>
      </w:r>
    </w:p>
    <w:p w14:paraId="375F7A62" w14:textId="77777777" w:rsidR="0096002D" w:rsidRPr="0096002D" w:rsidRDefault="0096002D" w:rsidP="0096002D">
      <w:pPr>
        <w:pStyle w:val="NormalWeb"/>
        <w:rPr>
          <w:color w:val="404040"/>
        </w:rPr>
      </w:pPr>
      <w:r w:rsidRPr="0096002D">
        <w:rPr>
          <w:rStyle w:val="Strong"/>
          <w:rFonts w:eastAsiaTheme="majorEastAsia"/>
          <w:color w:val="404040"/>
        </w:rPr>
        <w:t>Fasvis övergång med parallella strukturer</w:t>
      </w:r>
      <w:r w:rsidRPr="0096002D">
        <w:rPr>
          <w:color w:val="404040"/>
        </w:rPr>
        <w:t>:</w:t>
      </w:r>
    </w:p>
    <w:p w14:paraId="64E6E375" w14:textId="77777777" w:rsidR="0096002D" w:rsidRPr="0096002D" w:rsidRDefault="0096002D" w:rsidP="0096002D">
      <w:pPr>
        <w:pStyle w:val="NormalWeb"/>
        <w:numPr>
          <w:ilvl w:val="0"/>
          <w:numId w:val="43"/>
        </w:numPr>
        <w:spacing w:before="0" w:beforeAutospacing="0" w:after="0" w:afterAutospacing="0"/>
        <w:rPr>
          <w:color w:val="404040"/>
        </w:rPr>
      </w:pPr>
      <w:r w:rsidRPr="0096002D">
        <w:rPr>
          <w:color w:val="404040"/>
        </w:rPr>
        <w:t>GCAC skulle initialt fungera </w:t>
      </w:r>
      <w:r w:rsidRPr="0096002D">
        <w:rPr>
          <w:rStyle w:val="Strong"/>
          <w:rFonts w:eastAsiaTheme="majorEastAsia"/>
          <w:color w:val="404040"/>
        </w:rPr>
        <w:t>parallellt med FN</w:t>
      </w:r>
      <w:r w:rsidRPr="0096002D">
        <w:rPr>
          <w:color w:val="404040"/>
        </w:rPr>
        <w:t>, med fokus på specifika områden där FN varit ineffektivt (t.ex. klimatåtgärder, pandemier).</w:t>
      </w:r>
    </w:p>
    <w:p w14:paraId="08B0E1E3" w14:textId="77777777" w:rsidR="0096002D" w:rsidRPr="0096002D" w:rsidRDefault="0096002D" w:rsidP="0096002D">
      <w:pPr>
        <w:pStyle w:val="NormalWeb"/>
        <w:numPr>
          <w:ilvl w:val="0"/>
          <w:numId w:val="43"/>
        </w:numPr>
        <w:spacing w:before="0" w:beforeAutospacing="0" w:after="0" w:afterAutospacing="0"/>
        <w:rPr>
          <w:color w:val="404040"/>
        </w:rPr>
      </w:pPr>
      <w:r w:rsidRPr="0096002D">
        <w:rPr>
          <w:color w:val="404040"/>
        </w:rPr>
        <w:t>Över tid, när GCAC visar på effektivitet, kan nationer frivilligt överföra mer ansvar från FN till GCAC.</w:t>
      </w:r>
    </w:p>
    <w:p w14:paraId="04D687E7" w14:textId="77777777" w:rsidR="0096002D" w:rsidRPr="0096002D" w:rsidRDefault="0096002D" w:rsidP="0096002D">
      <w:pPr>
        <w:pStyle w:val="NormalWeb"/>
        <w:rPr>
          <w:color w:val="404040"/>
        </w:rPr>
      </w:pPr>
      <w:r w:rsidRPr="0096002D">
        <w:rPr>
          <w:rStyle w:val="Strong"/>
          <w:rFonts w:eastAsiaTheme="majorEastAsia"/>
          <w:color w:val="404040"/>
        </w:rPr>
        <w:t>Övergångskommitté</w:t>
      </w:r>
      <w:r w:rsidRPr="0096002D">
        <w:rPr>
          <w:color w:val="404040"/>
        </w:rPr>
        <w:t>:</w:t>
      </w:r>
    </w:p>
    <w:p w14:paraId="35285281" w14:textId="77777777" w:rsidR="0096002D" w:rsidRPr="0096002D" w:rsidRDefault="0096002D" w:rsidP="0096002D">
      <w:pPr>
        <w:pStyle w:val="NormalWeb"/>
        <w:numPr>
          <w:ilvl w:val="0"/>
          <w:numId w:val="44"/>
        </w:numPr>
        <w:spacing w:before="0" w:beforeAutospacing="0" w:after="0" w:afterAutospacing="0"/>
        <w:rPr>
          <w:color w:val="404040"/>
        </w:rPr>
      </w:pPr>
      <w:r w:rsidRPr="0096002D">
        <w:rPr>
          <w:color w:val="404040"/>
        </w:rPr>
        <w:t>Upprätta en </w:t>
      </w:r>
      <w:r w:rsidRPr="0096002D">
        <w:rPr>
          <w:rStyle w:val="Strong"/>
          <w:rFonts w:eastAsiaTheme="majorEastAsia"/>
          <w:color w:val="404040"/>
        </w:rPr>
        <w:t>övergångskommitté</w:t>
      </w:r>
      <w:r w:rsidRPr="0096002D">
        <w:rPr>
          <w:color w:val="404040"/>
        </w:rPr>
        <w:t> bestående av diplomater, FN-experter och GCAC-arkitekter för att hantera överlämningsprocessen.</w:t>
      </w:r>
    </w:p>
    <w:p w14:paraId="66F1F16F" w14:textId="77777777" w:rsidR="0096002D" w:rsidRPr="0096002D" w:rsidRDefault="0096002D" w:rsidP="0096002D">
      <w:pPr>
        <w:pStyle w:val="NormalWeb"/>
        <w:numPr>
          <w:ilvl w:val="0"/>
          <w:numId w:val="44"/>
        </w:numPr>
        <w:spacing w:before="0" w:beforeAutospacing="0" w:after="0" w:afterAutospacing="0"/>
        <w:rPr>
          <w:color w:val="404040"/>
        </w:rPr>
      </w:pPr>
      <w:r w:rsidRPr="0096002D">
        <w:rPr>
          <w:color w:val="404040"/>
        </w:rPr>
        <w:t>Denna kommitté skulle ansvara för att identifiera viktiga FN-funktioner som ska överföras, förhandla med FN-organ och säkerställa kontinuitet i kritiska globala operationer under övergången.</w:t>
      </w:r>
    </w:p>
    <w:p w14:paraId="6AC80F9B" w14:textId="77777777" w:rsidR="0096002D" w:rsidRPr="0096002D" w:rsidRDefault="0096002D" w:rsidP="0096002D">
      <w:pPr>
        <w:pStyle w:val="NormalWeb"/>
        <w:rPr>
          <w:color w:val="404040"/>
        </w:rPr>
      </w:pPr>
      <w:r w:rsidRPr="0096002D">
        <w:rPr>
          <w:rStyle w:val="Strong"/>
          <w:rFonts w:eastAsiaTheme="majorEastAsia"/>
          <w:color w:val="404040"/>
        </w:rPr>
        <w:lastRenderedPageBreak/>
        <w:t>Engagera nyckelaktörer tidigt</w:t>
      </w:r>
      <w:r w:rsidRPr="0096002D">
        <w:rPr>
          <w:color w:val="404040"/>
        </w:rPr>
        <w:t>:</w:t>
      </w:r>
    </w:p>
    <w:p w14:paraId="180B96CF" w14:textId="77777777" w:rsidR="0096002D" w:rsidRPr="0096002D" w:rsidRDefault="0096002D" w:rsidP="0096002D">
      <w:pPr>
        <w:pStyle w:val="NormalWeb"/>
        <w:numPr>
          <w:ilvl w:val="0"/>
          <w:numId w:val="45"/>
        </w:numPr>
        <w:spacing w:before="0" w:beforeAutospacing="0" w:after="0" w:afterAutospacing="0"/>
        <w:rPr>
          <w:color w:val="404040"/>
        </w:rPr>
      </w:pPr>
      <w:r w:rsidRPr="0096002D">
        <w:rPr>
          <w:color w:val="404040"/>
        </w:rPr>
        <w:t>Inkludera </w:t>
      </w:r>
      <w:r w:rsidRPr="0096002D">
        <w:rPr>
          <w:rStyle w:val="Strong"/>
          <w:rFonts w:eastAsiaTheme="majorEastAsia"/>
          <w:color w:val="404040"/>
        </w:rPr>
        <w:t>stora makter, regionala block och inflytelserika icke-statliga aktörer</w:t>
      </w:r>
      <w:r w:rsidRPr="0096002D">
        <w:rPr>
          <w:color w:val="404040"/>
        </w:rPr>
        <w:t> i designen och implementeringen av GCAC från början, för att säkerställa att deras intressen representeras.</w:t>
      </w:r>
    </w:p>
    <w:p w14:paraId="0FA55373" w14:textId="77777777" w:rsidR="0096002D" w:rsidRPr="0096002D" w:rsidRDefault="0096002D" w:rsidP="0096002D">
      <w:pPr>
        <w:pStyle w:val="NormalWeb"/>
        <w:numPr>
          <w:ilvl w:val="0"/>
          <w:numId w:val="45"/>
        </w:numPr>
        <w:spacing w:before="0" w:beforeAutospacing="0" w:after="0" w:afterAutospacing="0"/>
        <w:rPr>
          <w:color w:val="404040"/>
        </w:rPr>
      </w:pPr>
      <w:r w:rsidRPr="0096002D">
        <w:rPr>
          <w:color w:val="404040"/>
        </w:rPr>
        <w:t>Använd </w:t>
      </w:r>
      <w:r w:rsidRPr="0096002D">
        <w:rPr>
          <w:rStyle w:val="Strong"/>
          <w:rFonts w:eastAsiaTheme="majorEastAsia"/>
          <w:color w:val="404040"/>
        </w:rPr>
        <w:t>regionala pilotprogram</w:t>
      </w:r>
      <w:r w:rsidRPr="0096002D">
        <w:rPr>
          <w:color w:val="404040"/>
        </w:rPr>
        <w:t> för att bygga förtroende och demonstrera konkreta fördelar innan en global expansion.</w:t>
      </w:r>
    </w:p>
    <w:p w14:paraId="547F2ADC" w14:textId="77777777" w:rsidR="0096002D" w:rsidRPr="0096002D" w:rsidRDefault="0096002D" w:rsidP="0096002D">
      <w:pPr>
        <w:pStyle w:val="NormalWeb"/>
        <w:rPr>
          <w:color w:val="404040"/>
        </w:rPr>
      </w:pPr>
      <w:r w:rsidRPr="0096002D">
        <w:rPr>
          <w:rStyle w:val="Strong"/>
          <w:rFonts w:eastAsiaTheme="majorEastAsia"/>
          <w:color w:val="404040"/>
        </w:rPr>
        <w:t>Betona komplettering, inte ersättning</w:t>
      </w:r>
      <w:r w:rsidRPr="0096002D">
        <w:rPr>
          <w:color w:val="404040"/>
        </w:rPr>
        <w:t>:</w:t>
      </w:r>
    </w:p>
    <w:p w14:paraId="2D9C09B9" w14:textId="77777777" w:rsidR="0096002D" w:rsidRPr="0096002D" w:rsidRDefault="0096002D" w:rsidP="0096002D">
      <w:pPr>
        <w:pStyle w:val="NormalWeb"/>
        <w:numPr>
          <w:ilvl w:val="0"/>
          <w:numId w:val="46"/>
        </w:numPr>
        <w:spacing w:before="0" w:beforeAutospacing="0" w:after="0" w:afterAutospacing="0"/>
        <w:rPr>
          <w:color w:val="404040"/>
        </w:rPr>
      </w:pPr>
      <w:r w:rsidRPr="0096002D">
        <w:rPr>
          <w:color w:val="404040"/>
        </w:rPr>
        <w:t>Presentera GCAC som ett </w:t>
      </w:r>
      <w:r w:rsidRPr="0096002D">
        <w:rPr>
          <w:rStyle w:val="Strong"/>
          <w:rFonts w:eastAsiaTheme="majorEastAsia"/>
          <w:color w:val="404040"/>
        </w:rPr>
        <w:t>kompletterande organ</w:t>
      </w:r>
      <w:r w:rsidRPr="0096002D">
        <w:rPr>
          <w:color w:val="404040"/>
        </w:rPr>
        <w:t> snarare än en direkt ersättning av FN, med fokus på områden där FN misslyckats eller blivit stagnerat.</w:t>
      </w:r>
    </w:p>
    <w:p w14:paraId="562DC2D7" w14:textId="77777777" w:rsidR="0096002D" w:rsidRPr="0096002D" w:rsidRDefault="0096002D" w:rsidP="0096002D">
      <w:pPr>
        <w:pStyle w:val="NormalWeb"/>
        <w:numPr>
          <w:ilvl w:val="0"/>
          <w:numId w:val="46"/>
        </w:numPr>
        <w:spacing w:before="0" w:beforeAutospacing="0" w:after="0" w:afterAutospacing="0"/>
        <w:rPr>
          <w:color w:val="404040"/>
        </w:rPr>
      </w:pPr>
      <w:r w:rsidRPr="0096002D">
        <w:rPr>
          <w:color w:val="404040"/>
        </w:rPr>
        <w:t>Erbjud FN en </w:t>
      </w:r>
      <w:r w:rsidRPr="0096002D">
        <w:rPr>
          <w:rStyle w:val="Strong"/>
          <w:rFonts w:eastAsiaTheme="majorEastAsia"/>
          <w:color w:val="404040"/>
        </w:rPr>
        <w:t>integrationsväg</w:t>
      </w:r>
      <w:r w:rsidRPr="0096002D">
        <w:rPr>
          <w:color w:val="404040"/>
        </w:rPr>
        <w:t> som tillåter det att inkorporera framgångsrika GCAC-modeller i sin egen verksamhet.</w:t>
      </w:r>
    </w:p>
    <w:p w14:paraId="34989AA2" w14:textId="77777777" w:rsidR="0096002D" w:rsidRPr="0096002D" w:rsidRDefault="0096002D" w:rsidP="0096002D">
      <w:pPr>
        <w:pStyle w:val="NormalWeb"/>
        <w:rPr>
          <w:color w:val="404040"/>
        </w:rPr>
      </w:pPr>
      <w:r w:rsidRPr="0096002D">
        <w:rPr>
          <w:rStyle w:val="Strong"/>
          <w:rFonts w:eastAsiaTheme="majorEastAsia"/>
          <w:color w:val="404040"/>
        </w:rPr>
        <w:t>4. Säkerställa hållbar finansiering</w:t>
      </w:r>
      <w:r w:rsidRPr="0096002D">
        <w:rPr>
          <w:color w:val="404040"/>
        </w:rPr>
        <w:br/>
      </w:r>
      <w:r w:rsidRPr="0096002D">
        <w:rPr>
          <w:rStyle w:val="Strong"/>
          <w:rFonts w:eastAsiaTheme="majorEastAsia"/>
          <w:color w:val="404040"/>
        </w:rPr>
        <w:t>Skiktad bidragsmodell</w:t>
      </w:r>
      <w:r w:rsidRPr="0096002D">
        <w:rPr>
          <w:color w:val="404040"/>
        </w:rPr>
        <w:t>:</w:t>
      </w:r>
    </w:p>
    <w:p w14:paraId="5D70FB3D" w14:textId="77777777" w:rsidR="0096002D" w:rsidRPr="0096002D" w:rsidRDefault="0096002D" w:rsidP="0096002D">
      <w:pPr>
        <w:pStyle w:val="NormalWeb"/>
        <w:numPr>
          <w:ilvl w:val="0"/>
          <w:numId w:val="47"/>
        </w:numPr>
        <w:spacing w:before="0" w:beforeAutospacing="0" w:after="0" w:afterAutospacing="0"/>
        <w:rPr>
          <w:color w:val="404040"/>
        </w:rPr>
      </w:pPr>
      <w:r w:rsidRPr="0096002D">
        <w:rPr>
          <w:color w:val="404040"/>
        </w:rPr>
        <w:t>Inför ett </w:t>
      </w:r>
      <w:r w:rsidRPr="0096002D">
        <w:rPr>
          <w:rStyle w:val="Strong"/>
          <w:rFonts w:eastAsiaTheme="majorEastAsia"/>
          <w:color w:val="404040"/>
        </w:rPr>
        <w:t>skiktat bidragssystem</w:t>
      </w:r>
      <w:r w:rsidRPr="0096002D">
        <w:rPr>
          <w:color w:val="404040"/>
        </w:rPr>
        <w:t> där nationer bidrar baserat på BNP, men med flexibilitet för lägre inkomstländer.</w:t>
      </w:r>
    </w:p>
    <w:p w14:paraId="52632A73" w14:textId="77777777" w:rsidR="0096002D" w:rsidRPr="0096002D" w:rsidRDefault="0096002D" w:rsidP="0096002D">
      <w:pPr>
        <w:pStyle w:val="NormalWeb"/>
        <w:numPr>
          <w:ilvl w:val="0"/>
          <w:numId w:val="47"/>
        </w:numPr>
        <w:spacing w:before="0" w:beforeAutospacing="0" w:after="0" w:afterAutospacing="0"/>
        <w:rPr>
          <w:color w:val="404040"/>
        </w:rPr>
      </w:pPr>
      <w:r w:rsidRPr="0096002D">
        <w:rPr>
          <w:color w:val="404040"/>
        </w:rPr>
        <w:t>Rikare nationer kan välja </w:t>
      </w:r>
      <w:r w:rsidRPr="0096002D">
        <w:rPr>
          <w:rStyle w:val="Strong"/>
          <w:rFonts w:eastAsiaTheme="majorEastAsia"/>
          <w:color w:val="404040"/>
        </w:rPr>
        <w:t>högre bidragsnivåer</w:t>
      </w:r>
      <w:r w:rsidRPr="0096002D">
        <w:rPr>
          <w:color w:val="404040"/>
        </w:rPr>
        <w:t> i utbyte mot större inflytande i finansieringsbeslut för specifika initiativ.</w:t>
      </w:r>
    </w:p>
    <w:p w14:paraId="41606F12" w14:textId="77777777" w:rsidR="0096002D" w:rsidRPr="0096002D" w:rsidRDefault="0096002D" w:rsidP="0096002D">
      <w:pPr>
        <w:pStyle w:val="NormalWeb"/>
        <w:rPr>
          <w:color w:val="404040"/>
        </w:rPr>
      </w:pPr>
      <w:r w:rsidRPr="0096002D">
        <w:rPr>
          <w:rStyle w:val="Strong"/>
          <w:rFonts w:eastAsiaTheme="majorEastAsia"/>
          <w:color w:val="404040"/>
        </w:rPr>
        <w:t>Innovativa finansieringsmekanismer</w:t>
      </w:r>
      <w:r w:rsidRPr="0096002D">
        <w:rPr>
          <w:color w:val="404040"/>
        </w:rPr>
        <w:t>:</w:t>
      </w:r>
    </w:p>
    <w:p w14:paraId="2B91D198" w14:textId="77777777" w:rsidR="0096002D" w:rsidRPr="0096002D" w:rsidRDefault="0096002D" w:rsidP="0096002D">
      <w:pPr>
        <w:pStyle w:val="NormalWeb"/>
        <w:numPr>
          <w:ilvl w:val="0"/>
          <w:numId w:val="48"/>
        </w:numPr>
        <w:spacing w:before="0" w:beforeAutospacing="0" w:after="0" w:afterAutospacing="0"/>
        <w:rPr>
          <w:color w:val="404040"/>
        </w:rPr>
      </w:pPr>
      <w:r w:rsidRPr="0096002D">
        <w:rPr>
          <w:rStyle w:val="Strong"/>
          <w:rFonts w:eastAsiaTheme="majorEastAsia"/>
          <w:color w:val="404040"/>
        </w:rPr>
        <w:t>Global mikroskatt på transaktioner</w:t>
      </w:r>
      <w:r w:rsidRPr="0096002D">
        <w:rPr>
          <w:color w:val="404040"/>
        </w:rPr>
        <w:t>: En liten skatt på internationella finansiella transaktioner (t.ex. 0,01 %) skulle kunna generera betydande intäkter samtidigt som den förblir försumbar för enskilda transaktioner.</w:t>
      </w:r>
    </w:p>
    <w:p w14:paraId="142275B6" w14:textId="77777777" w:rsidR="0096002D" w:rsidRPr="0096002D" w:rsidRDefault="0096002D" w:rsidP="0096002D">
      <w:pPr>
        <w:pStyle w:val="NormalWeb"/>
        <w:numPr>
          <w:ilvl w:val="0"/>
          <w:numId w:val="48"/>
        </w:numPr>
        <w:spacing w:before="0" w:beforeAutospacing="0" w:after="0" w:afterAutospacing="0"/>
        <w:rPr>
          <w:color w:val="404040"/>
        </w:rPr>
      </w:pPr>
      <w:r w:rsidRPr="0096002D">
        <w:rPr>
          <w:rStyle w:val="Strong"/>
          <w:rFonts w:eastAsiaTheme="majorEastAsia"/>
          <w:color w:val="404040"/>
        </w:rPr>
        <w:t>Företags- och privatsektorspartnerskap</w:t>
      </w:r>
      <w:r w:rsidRPr="0096002D">
        <w:rPr>
          <w:color w:val="404040"/>
        </w:rPr>
        <w:t>: Uppmuntra partnerskap med etiskt granskade företag och filantroper som vill bidra till globala ändamål.</w:t>
      </w:r>
    </w:p>
    <w:p w14:paraId="090A7128" w14:textId="77777777" w:rsidR="0096002D" w:rsidRPr="0096002D" w:rsidRDefault="0096002D" w:rsidP="0096002D">
      <w:pPr>
        <w:pStyle w:val="NormalWeb"/>
        <w:rPr>
          <w:color w:val="404040"/>
        </w:rPr>
      </w:pPr>
      <w:r w:rsidRPr="0096002D">
        <w:rPr>
          <w:rStyle w:val="Strong"/>
          <w:rFonts w:eastAsiaTheme="majorEastAsia"/>
          <w:color w:val="404040"/>
        </w:rPr>
        <w:t>Transparens i fördelning</w:t>
      </w:r>
      <w:r w:rsidRPr="0096002D">
        <w:rPr>
          <w:color w:val="404040"/>
        </w:rPr>
        <w:t>:</w:t>
      </w:r>
    </w:p>
    <w:p w14:paraId="70A3BB2F" w14:textId="77777777" w:rsidR="0096002D" w:rsidRPr="0096002D" w:rsidRDefault="0096002D" w:rsidP="0096002D">
      <w:pPr>
        <w:pStyle w:val="NormalWeb"/>
        <w:numPr>
          <w:ilvl w:val="0"/>
          <w:numId w:val="49"/>
        </w:numPr>
        <w:spacing w:before="0" w:beforeAutospacing="0" w:after="0" w:afterAutospacing="0"/>
        <w:rPr>
          <w:color w:val="404040"/>
        </w:rPr>
      </w:pPr>
      <w:r w:rsidRPr="0096002D">
        <w:rPr>
          <w:color w:val="404040"/>
        </w:rPr>
        <w:t>Implementera </w:t>
      </w:r>
      <w:r w:rsidRPr="0096002D">
        <w:rPr>
          <w:rStyle w:val="Strong"/>
          <w:rFonts w:eastAsiaTheme="majorEastAsia"/>
          <w:color w:val="404040"/>
        </w:rPr>
        <w:t>realtidsfinansiella instrumentpaneler</w:t>
      </w:r>
      <w:r w:rsidRPr="0096002D">
        <w:rPr>
          <w:color w:val="404040"/>
        </w:rPr>
        <w:t> som visar hur medel fördelas och spenderas, för att bygga förtroende bland medlemsstater och allmänheten.</w:t>
      </w:r>
    </w:p>
    <w:p w14:paraId="5450E7FE" w14:textId="77777777" w:rsidR="0096002D" w:rsidRPr="0096002D" w:rsidRDefault="0096002D" w:rsidP="0096002D">
      <w:pPr>
        <w:pStyle w:val="NormalWeb"/>
        <w:numPr>
          <w:ilvl w:val="0"/>
          <w:numId w:val="49"/>
        </w:numPr>
        <w:spacing w:before="0" w:beforeAutospacing="0" w:after="0" w:afterAutospacing="0"/>
        <w:rPr>
          <w:color w:val="404040"/>
        </w:rPr>
      </w:pPr>
      <w:r w:rsidRPr="0096002D">
        <w:rPr>
          <w:color w:val="404040"/>
        </w:rPr>
        <w:t>Regelbundna </w:t>
      </w:r>
      <w:r w:rsidRPr="0096002D">
        <w:rPr>
          <w:rStyle w:val="Strong"/>
          <w:rFonts w:eastAsiaTheme="majorEastAsia"/>
          <w:color w:val="404040"/>
        </w:rPr>
        <w:t>oberoende revisioner</w:t>
      </w:r>
      <w:r w:rsidRPr="0096002D">
        <w:rPr>
          <w:color w:val="404040"/>
        </w:rPr>
        <w:t> skulle säkerställa ansvarsskyldighet och förhindra korruption.</w:t>
      </w:r>
    </w:p>
    <w:p w14:paraId="3EE0E718" w14:textId="77777777" w:rsidR="0096002D" w:rsidRPr="0096002D" w:rsidRDefault="0096002D" w:rsidP="0096002D">
      <w:pPr>
        <w:pStyle w:val="NormalWeb"/>
        <w:rPr>
          <w:color w:val="404040"/>
        </w:rPr>
      </w:pPr>
      <w:r w:rsidRPr="0096002D">
        <w:rPr>
          <w:rStyle w:val="Strong"/>
          <w:rFonts w:eastAsiaTheme="majorEastAsia"/>
          <w:color w:val="404040"/>
        </w:rPr>
        <w:t>5. Balansering av regionala och globala prioriteringar</w:t>
      </w:r>
      <w:r w:rsidRPr="0096002D">
        <w:rPr>
          <w:color w:val="404040"/>
        </w:rPr>
        <w:br/>
      </w:r>
      <w:r w:rsidRPr="0096002D">
        <w:rPr>
          <w:rStyle w:val="Strong"/>
          <w:rFonts w:eastAsiaTheme="majorEastAsia"/>
          <w:color w:val="404040"/>
        </w:rPr>
        <w:t>Protokoll för regional-global samordning</w:t>
      </w:r>
      <w:r w:rsidRPr="0096002D">
        <w:rPr>
          <w:color w:val="404040"/>
        </w:rPr>
        <w:t>:</w:t>
      </w:r>
    </w:p>
    <w:p w14:paraId="550E6C2B" w14:textId="77777777" w:rsidR="0096002D" w:rsidRPr="0096002D" w:rsidRDefault="0096002D" w:rsidP="0096002D">
      <w:pPr>
        <w:pStyle w:val="NormalWeb"/>
        <w:numPr>
          <w:ilvl w:val="0"/>
          <w:numId w:val="50"/>
        </w:numPr>
        <w:spacing w:before="0" w:beforeAutospacing="0" w:after="0" w:afterAutospacing="0"/>
        <w:rPr>
          <w:color w:val="404040"/>
        </w:rPr>
      </w:pPr>
      <w:r w:rsidRPr="0096002D">
        <w:rPr>
          <w:color w:val="404040"/>
        </w:rPr>
        <w:t>Utveckla tydliga </w:t>
      </w:r>
      <w:r w:rsidRPr="0096002D">
        <w:rPr>
          <w:rStyle w:val="Strong"/>
          <w:rFonts w:eastAsiaTheme="majorEastAsia"/>
          <w:color w:val="404040"/>
        </w:rPr>
        <w:t>samordningsprotokoll</w:t>
      </w:r>
      <w:r w:rsidRPr="0096002D">
        <w:rPr>
          <w:color w:val="404040"/>
        </w:rPr>
        <w:t> som kräver att RCCs konsulterar GAAC när regionala åtgärder kan påverka andra regioner eller globala prioriteringar.</w:t>
      </w:r>
    </w:p>
    <w:p w14:paraId="25588F68" w14:textId="77777777" w:rsidR="0096002D" w:rsidRPr="0096002D" w:rsidRDefault="0096002D" w:rsidP="0096002D">
      <w:pPr>
        <w:pStyle w:val="NormalWeb"/>
        <w:numPr>
          <w:ilvl w:val="0"/>
          <w:numId w:val="50"/>
        </w:numPr>
        <w:spacing w:before="0" w:beforeAutospacing="0" w:after="0" w:afterAutospacing="0"/>
        <w:rPr>
          <w:color w:val="404040"/>
        </w:rPr>
      </w:pPr>
      <w:r w:rsidRPr="0096002D">
        <w:rPr>
          <w:color w:val="404040"/>
        </w:rPr>
        <w:t>Upprätta </w:t>
      </w:r>
      <w:r w:rsidRPr="0096002D">
        <w:rPr>
          <w:rStyle w:val="Strong"/>
          <w:rFonts w:eastAsiaTheme="majorEastAsia"/>
          <w:color w:val="404040"/>
        </w:rPr>
        <w:t>gemensamma task forces</w:t>
      </w:r>
      <w:r w:rsidRPr="0096002D">
        <w:rPr>
          <w:color w:val="404040"/>
        </w:rPr>
        <w:t> för tvärregionala frågor, med delat ledarskap mellan RCCs och GAAC.</w:t>
      </w:r>
    </w:p>
    <w:p w14:paraId="51823DD4" w14:textId="77777777" w:rsidR="0096002D" w:rsidRPr="0096002D" w:rsidRDefault="0096002D" w:rsidP="0096002D">
      <w:pPr>
        <w:pStyle w:val="NormalWeb"/>
        <w:rPr>
          <w:color w:val="404040"/>
        </w:rPr>
      </w:pPr>
      <w:r w:rsidRPr="0096002D">
        <w:rPr>
          <w:rStyle w:val="Strong"/>
          <w:rFonts w:eastAsiaTheme="majorEastAsia"/>
          <w:color w:val="404040"/>
        </w:rPr>
        <w:t>Incitament för tvärregionalt samarbete</w:t>
      </w:r>
      <w:r w:rsidRPr="0096002D">
        <w:rPr>
          <w:color w:val="404040"/>
        </w:rPr>
        <w:t>:</w:t>
      </w:r>
    </w:p>
    <w:p w14:paraId="0C8ADEF0" w14:textId="77777777" w:rsidR="0096002D" w:rsidRPr="0096002D" w:rsidRDefault="0096002D" w:rsidP="0096002D">
      <w:pPr>
        <w:pStyle w:val="NormalWeb"/>
        <w:numPr>
          <w:ilvl w:val="0"/>
          <w:numId w:val="51"/>
        </w:numPr>
        <w:spacing w:before="0" w:beforeAutospacing="0" w:after="0" w:afterAutospacing="0"/>
        <w:rPr>
          <w:color w:val="404040"/>
        </w:rPr>
      </w:pPr>
      <w:r w:rsidRPr="0096002D">
        <w:rPr>
          <w:color w:val="404040"/>
        </w:rPr>
        <w:t>Erbjud </w:t>
      </w:r>
      <w:r w:rsidRPr="0096002D">
        <w:rPr>
          <w:rStyle w:val="Strong"/>
          <w:rFonts w:eastAsiaTheme="majorEastAsia"/>
          <w:color w:val="404040"/>
        </w:rPr>
        <w:t>ytterligare finansiering och teknisk stöd</w:t>
      </w:r>
      <w:r w:rsidRPr="0096002D">
        <w:rPr>
          <w:color w:val="404040"/>
        </w:rPr>
        <w:t> för RCCs som samarbetar i tvärregionala initiativ.</w:t>
      </w:r>
    </w:p>
    <w:p w14:paraId="46974666" w14:textId="77777777" w:rsidR="0096002D" w:rsidRPr="0096002D" w:rsidRDefault="0096002D" w:rsidP="0096002D">
      <w:pPr>
        <w:pStyle w:val="NormalWeb"/>
        <w:numPr>
          <w:ilvl w:val="0"/>
          <w:numId w:val="51"/>
        </w:numPr>
        <w:spacing w:before="0" w:beforeAutospacing="0" w:after="0" w:afterAutospacing="0"/>
        <w:rPr>
          <w:color w:val="404040"/>
        </w:rPr>
      </w:pPr>
      <w:r w:rsidRPr="0096002D">
        <w:rPr>
          <w:color w:val="404040"/>
        </w:rPr>
        <w:lastRenderedPageBreak/>
        <w:t>Uppmärksamma framgångsrika samarbeten genom </w:t>
      </w:r>
      <w:r w:rsidRPr="0096002D">
        <w:rPr>
          <w:rStyle w:val="Strong"/>
          <w:rFonts w:eastAsiaTheme="majorEastAsia"/>
          <w:color w:val="404040"/>
        </w:rPr>
        <w:t>globala utmärkelser och medietäckning</w:t>
      </w:r>
      <w:r w:rsidRPr="0096002D">
        <w:rPr>
          <w:color w:val="404040"/>
        </w:rPr>
        <w:t>, vilket förstärker deltagande RCCs rykte.</w:t>
      </w:r>
    </w:p>
    <w:p w14:paraId="34748D26" w14:textId="77777777" w:rsidR="0096002D" w:rsidRPr="0096002D" w:rsidRDefault="0096002D" w:rsidP="0096002D">
      <w:pPr>
        <w:pStyle w:val="NormalWeb"/>
        <w:rPr>
          <w:color w:val="404040"/>
        </w:rPr>
      </w:pPr>
      <w:r w:rsidRPr="0096002D">
        <w:rPr>
          <w:rStyle w:val="Strong"/>
          <w:rFonts w:eastAsiaTheme="majorEastAsia"/>
          <w:color w:val="404040"/>
        </w:rPr>
        <w:t>6. Hantera maktbalanser</w:t>
      </w:r>
      <w:r w:rsidRPr="0096002D">
        <w:rPr>
          <w:color w:val="404040"/>
        </w:rPr>
        <w:br/>
      </w:r>
      <w:r w:rsidRPr="0096002D">
        <w:rPr>
          <w:rStyle w:val="Strong"/>
          <w:rFonts w:eastAsiaTheme="majorEastAsia"/>
          <w:color w:val="404040"/>
        </w:rPr>
        <w:t>Vägd röstning med kontroller</w:t>
      </w:r>
      <w:r w:rsidRPr="0096002D">
        <w:rPr>
          <w:color w:val="404040"/>
        </w:rPr>
        <w:t>:</w:t>
      </w:r>
    </w:p>
    <w:p w14:paraId="7657B954" w14:textId="77777777" w:rsidR="0096002D" w:rsidRPr="0096002D" w:rsidRDefault="0096002D" w:rsidP="0096002D">
      <w:pPr>
        <w:pStyle w:val="NormalWeb"/>
        <w:numPr>
          <w:ilvl w:val="0"/>
          <w:numId w:val="52"/>
        </w:numPr>
        <w:spacing w:before="0" w:beforeAutospacing="0" w:after="0" w:afterAutospacing="0"/>
        <w:rPr>
          <w:color w:val="404040"/>
        </w:rPr>
      </w:pPr>
      <w:r w:rsidRPr="0096002D">
        <w:rPr>
          <w:color w:val="404040"/>
        </w:rPr>
        <w:t>Behåll det </w:t>
      </w:r>
      <w:r w:rsidRPr="0096002D">
        <w:rPr>
          <w:rStyle w:val="Strong"/>
          <w:rFonts w:eastAsiaTheme="majorEastAsia"/>
          <w:color w:val="404040"/>
        </w:rPr>
        <w:t>dubbla röstsystemet</w:t>
      </w:r>
      <w:r w:rsidRPr="0096002D">
        <w:rPr>
          <w:color w:val="404040"/>
        </w:rPr>
        <w:t> (majoritet av stater + majoritet av befolkningen) i RCCs men inför en </w:t>
      </w:r>
      <w:r w:rsidRPr="0096002D">
        <w:rPr>
          <w:rStyle w:val="Strong"/>
          <w:rFonts w:eastAsiaTheme="majorEastAsia"/>
          <w:color w:val="404040"/>
        </w:rPr>
        <w:t>befolkningsbegränsning</w:t>
      </w:r>
      <w:r w:rsidRPr="0096002D">
        <w:rPr>
          <w:color w:val="404040"/>
        </w:rPr>
        <w:t> för att förhindra dominans av stora nationer.</w:t>
      </w:r>
    </w:p>
    <w:p w14:paraId="1E6DB325" w14:textId="77777777" w:rsidR="0096002D" w:rsidRPr="0096002D" w:rsidRDefault="0096002D" w:rsidP="0096002D">
      <w:pPr>
        <w:pStyle w:val="NormalWeb"/>
        <w:numPr>
          <w:ilvl w:val="0"/>
          <w:numId w:val="52"/>
        </w:numPr>
        <w:spacing w:before="0" w:beforeAutospacing="0" w:after="0" w:afterAutospacing="0"/>
        <w:rPr>
          <w:color w:val="404040"/>
        </w:rPr>
      </w:pPr>
      <w:r w:rsidRPr="0096002D">
        <w:rPr>
          <w:color w:val="404040"/>
        </w:rPr>
        <w:t>För GAAC-beslut krävs att minst </w:t>
      </w:r>
      <w:r w:rsidRPr="0096002D">
        <w:rPr>
          <w:rStyle w:val="Strong"/>
          <w:rFonts w:eastAsiaTheme="majorEastAsia"/>
          <w:color w:val="404040"/>
        </w:rPr>
        <w:t>tre RCCs stöder</w:t>
      </w:r>
      <w:r w:rsidRPr="0096002D">
        <w:rPr>
          <w:color w:val="404040"/>
        </w:rPr>
        <w:t> varje semi-bindande resolution, vilket säkerställer brett regionalt stöd.</w:t>
      </w:r>
    </w:p>
    <w:p w14:paraId="717E4E02" w14:textId="77777777" w:rsidR="0096002D" w:rsidRPr="0096002D" w:rsidRDefault="0096002D" w:rsidP="0096002D">
      <w:pPr>
        <w:pStyle w:val="NormalWeb"/>
        <w:rPr>
          <w:color w:val="404040"/>
        </w:rPr>
      </w:pPr>
      <w:r w:rsidRPr="0096002D">
        <w:rPr>
          <w:rStyle w:val="Strong"/>
          <w:rFonts w:eastAsiaTheme="majorEastAsia"/>
          <w:color w:val="404040"/>
        </w:rPr>
        <w:t>Rotationsledarskap med balanserad representation</w:t>
      </w:r>
      <w:r w:rsidRPr="0096002D">
        <w:rPr>
          <w:color w:val="404040"/>
        </w:rPr>
        <w:t>:</w:t>
      </w:r>
    </w:p>
    <w:p w14:paraId="15838C14" w14:textId="77777777" w:rsidR="0096002D" w:rsidRPr="0096002D" w:rsidRDefault="0096002D" w:rsidP="0096002D">
      <w:pPr>
        <w:pStyle w:val="NormalWeb"/>
        <w:numPr>
          <w:ilvl w:val="0"/>
          <w:numId w:val="53"/>
        </w:numPr>
        <w:spacing w:before="0" w:beforeAutospacing="0" w:after="0" w:afterAutospacing="0"/>
        <w:rPr>
          <w:color w:val="404040"/>
        </w:rPr>
      </w:pPr>
      <w:r w:rsidRPr="0096002D">
        <w:rPr>
          <w:color w:val="404040"/>
        </w:rPr>
        <w:t>Fortsätt med </w:t>
      </w:r>
      <w:r w:rsidRPr="0096002D">
        <w:rPr>
          <w:rStyle w:val="Strong"/>
          <w:rFonts w:eastAsiaTheme="majorEastAsia"/>
          <w:color w:val="404040"/>
        </w:rPr>
        <w:t>rotationsledarskapet</w:t>
      </w:r>
      <w:r w:rsidRPr="0096002D">
        <w:rPr>
          <w:color w:val="404040"/>
        </w:rPr>
        <w:t>, men säkerställ att mindre och mindre mäktiga nationer garanteras periodiska ledarskapsroller.</w:t>
      </w:r>
    </w:p>
    <w:p w14:paraId="72A19D93" w14:textId="77777777" w:rsidR="0096002D" w:rsidRPr="0096002D" w:rsidRDefault="0096002D" w:rsidP="0096002D">
      <w:pPr>
        <w:pStyle w:val="NormalWeb"/>
        <w:numPr>
          <w:ilvl w:val="0"/>
          <w:numId w:val="53"/>
        </w:numPr>
        <w:spacing w:before="0" w:beforeAutospacing="0" w:after="0" w:afterAutospacing="0"/>
        <w:rPr>
          <w:color w:val="404040"/>
        </w:rPr>
      </w:pPr>
      <w:r w:rsidRPr="0096002D">
        <w:rPr>
          <w:color w:val="404040"/>
        </w:rPr>
        <w:t>Upprätta ett </w:t>
      </w:r>
      <w:r w:rsidRPr="0096002D">
        <w:rPr>
          <w:rStyle w:val="Strong"/>
          <w:rFonts w:eastAsiaTheme="majorEastAsia"/>
          <w:color w:val="404040"/>
        </w:rPr>
        <w:t>Ledarskapsrådgivande råd</w:t>
      </w:r>
      <w:r w:rsidRPr="0096002D">
        <w:rPr>
          <w:color w:val="404040"/>
        </w:rPr>
        <w:t> för att vägleda ledare och förhindra ensidiga beslut.</w:t>
      </w:r>
    </w:p>
    <w:p w14:paraId="3D270717" w14:textId="77777777" w:rsidR="0096002D" w:rsidRPr="0096002D" w:rsidRDefault="0096002D" w:rsidP="0096002D">
      <w:pPr>
        <w:pStyle w:val="NormalWeb"/>
        <w:rPr>
          <w:color w:val="404040"/>
        </w:rPr>
      </w:pPr>
      <w:r w:rsidRPr="0096002D">
        <w:rPr>
          <w:rStyle w:val="Strong"/>
          <w:rFonts w:eastAsiaTheme="majorEastAsia"/>
          <w:color w:val="404040"/>
        </w:rPr>
        <w:t>7. Pilotprogram</w:t>
      </w:r>
      <w:r w:rsidRPr="0096002D">
        <w:rPr>
          <w:color w:val="404040"/>
        </w:rPr>
        <w:br/>
      </w:r>
      <w:r w:rsidRPr="0096002D">
        <w:rPr>
          <w:rStyle w:val="Strong"/>
          <w:rFonts w:eastAsiaTheme="majorEastAsia"/>
          <w:color w:val="404040"/>
        </w:rPr>
        <w:t>Regionala pilotprogram</w:t>
      </w:r>
      <w:r w:rsidRPr="0096002D">
        <w:rPr>
          <w:color w:val="404040"/>
        </w:rPr>
        <w:t>:</w:t>
      </w:r>
    </w:p>
    <w:p w14:paraId="1D47CC68" w14:textId="77777777" w:rsidR="0096002D" w:rsidRPr="0096002D" w:rsidRDefault="0096002D" w:rsidP="0096002D">
      <w:pPr>
        <w:pStyle w:val="NormalWeb"/>
        <w:numPr>
          <w:ilvl w:val="0"/>
          <w:numId w:val="54"/>
        </w:numPr>
        <w:spacing w:before="0" w:beforeAutospacing="0" w:after="0" w:afterAutospacing="0"/>
        <w:rPr>
          <w:color w:val="404040"/>
        </w:rPr>
      </w:pPr>
      <w:r w:rsidRPr="0096002D">
        <w:rPr>
          <w:color w:val="404040"/>
        </w:rPr>
        <w:t>Börja med </w:t>
      </w:r>
      <w:r w:rsidRPr="0096002D">
        <w:rPr>
          <w:rStyle w:val="Strong"/>
          <w:rFonts w:eastAsiaTheme="majorEastAsia"/>
          <w:color w:val="404040"/>
        </w:rPr>
        <w:t>pilotprogram</w:t>
      </w:r>
      <w:r w:rsidRPr="0096002D">
        <w:rPr>
          <w:color w:val="404040"/>
        </w:rPr>
        <w:t> i specifika regioner eller områden (t.ex. klimatförändringar i Oceanien, pandemirespons i Afrika).</w:t>
      </w:r>
    </w:p>
    <w:p w14:paraId="66797D75" w14:textId="77777777" w:rsidR="0096002D" w:rsidRPr="0096002D" w:rsidRDefault="0096002D" w:rsidP="0096002D">
      <w:pPr>
        <w:pStyle w:val="NormalWeb"/>
        <w:numPr>
          <w:ilvl w:val="0"/>
          <w:numId w:val="54"/>
        </w:numPr>
        <w:spacing w:before="0" w:beforeAutospacing="0" w:after="0" w:afterAutospacing="0"/>
        <w:rPr>
          <w:color w:val="404040"/>
        </w:rPr>
      </w:pPr>
      <w:r w:rsidRPr="0096002D">
        <w:rPr>
          <w:color w:val="404040"/>
        </w:rPr>
        <w:t>Använd lärdomar från dessa piloter för att förfina GCAC-modellen innan en global expansion.</w:t>
      </w:r>
    </w:p>
    <w:p w14:paraId="5DCEDCE0" w14:textId="77777777" w:rsidR="0096002D" w:rsidRPr="0096002D" w:rsidRDefault="0096002D" w:rsidP="0096002D">
      <w:pPr>
        <w:pStyle w:val="NormalWeb"/>
        <w:rPr>
          <w:color w:val="404040"/>
        </w:rPr>
      </w:pPr>
      <w:r w:rsidRPr="0096002D">
        <w:rPr>
          <w:rStyle w:val="Strong"/>
          <w:rFonts w:eastAsiaTheme="majorEastAsia"/>
          <w:color w:val="404040"/>
        </w:rPr>
        <w:t>Initiativ för specifika frågor</w:t>
      </w:r>
      <w:r w:rsidRPr="0096002D">
        <w:rPr>
          <w:color w:val="404040"/>
        </w:rPr>
        <w:t>:</w:t>
      </w:r>
    </w:p>
    <w:p w14:paraId="63FC6260" w14:textId="77777777" w:rsidR="0096002D" w:rsidRPr="0096002D" w:rsidRDefault="0096002D" w:rsidP="0096002D">
      <w:pPr>
        <w:pStyle w:val="NormalWeb"/>
        <w:numPr>
          <w:ilvl w:val="0"/>
          <w:numId w:val="55"/>
        </w:numPr>
        <w:spacing w:before="0" w:beforeAutospacing="0" w:after="0" w:afterAutospacing="0"/>
        <w:rPr>
          <w:color w:val="404040"/>
        </w:rPr>
      </w:pPr>
      <w:r w:rsidRPr="0096002D">
        <w:rPr>
          <w:color w:val="404040"/>
        </w:rPr>
        <w:t>Lanserar initiala GCAC-initiativ kring </w:t>
      </w:r>
      <w:r w:rsidRPr="0096002D">
        <w:rPr>
          <w:rStyle w:val="Strong"/>
          <w:rFonts w:eastAsiaTheme="majorEastAsia"/>
          <w:color w:val="404040"/>
        </w:rPr>
        <w:t>icke-kontroversiella globala frågor</w:t>
      </w:r>
      <w:r w:rsidRPr="0096002D">
        <w:rPr>
          <w:color w:val="404040"/>
        </w:rPr>
        <w:t> (t.ex. katastrofhjälp, tillgång till rent vatten) för att bygga tidig framgång och trovärdighet.</w:t>
      </w:r>
    </w:p>
    <w:p w14:paraId="6456F762" w14:textId="77777777" w:rsidR="0096002D" w:rsidRPr="0096002D" w:rsidRDefault="0096002D" w:rsidP="0096002D">
      <w:pPr>
        <w:pStyle w:val="NormalWeb"/>
        <w:rPr>
          <w:color w:val="404040"/>
        </w:rPr>
      </w:pPr>
      <w:r w:rsidRPr="0096002D">
        <w:rPr>
          <w:rStyle w:val="Strong"/>
          <w:rFonts w:eastAsiaTheme="majorEastAsia"/>
          <w:color w:val="404040"/>
        </w:rPr>
        <w:t>Slutsats</w:t>
      </w:r>
      <w:r w:rsidRPr="0096002D">
        <w:rPr>
          <w:color w:val="404040"/>
        </w:rPr>
        <w:br/>
      </w:r>
      <w:r w:rsidRPr="0096002D">
        <w:rPr>
          <w:rStyle w:val="Strong"/>
          <w:rFonts w:eastAsiaTheme="majorEastAsia"/>
          <w:color w:val="404040"/>
        </w:rPr>
        <w:t>Global Cooperation &amp; Advisory Council (GCAC)</w:t>
      </w:r>
      <w:r w:rsidRPr="0096002D">
        <w:rPr>
          <w:color w:val="404040"/>
        </w:rPr>
        <w:t> erbjuder ett modigt men praktiskt alternativ till Förenta nationerna, som adresserar många av de brister som kritiserats i det nuvarande systemet samtidigt som det erbjuder ett nytt tillvägagångssätt för global styrning. Genom att betona </w:t>
      </w:r>
      <w:r w:rsidRPr="0096002D">
        <w:rPr>
          <w:rStyle w:val="Strong"/>
          <w:rFonts w:eastAsiaTheme="majorEastAsia"/>
          <w:color w:val="404040"/>
        </w:rPr>
        <w:t>frivilligt deltagande</w:t>
      </w:r>
      <w:r w:rsidRPr="0096002D">
        <w:rPr>
          <w:color w:val="404040"/>
        </w:rPr>
        <w:t>, </w:t>
      </w:r>
      <w:r w:rsidRPr="0096002D">
        <w:rPr>
          <w:rStyle w:val="Strong"/>
          <w:rFonts w:eastAsiaTheme="majorEastAsia"/>
          <w:color w:val="404040"/>
        </w:rPr>
        <w:t>regional autonomi</w:t>
      </w:r>
      <w:r w:rsidRPr="0096002D">
        <w:rPr>
          <w:color w:val="404040"/>
        </w:rPr>
        <w:t> och </w:t>
      </w:r>
      <w:r w:rsidRPr="0096002D">
        <w:rPr>
          <w:rStyle w:val="Strong"/>
          <w:rFonts w:eastAsiaTheme="majorEastAsia"/>
          <w:color w:val="404040"/>
        </w:rPr>
        <w:t>transparens</w:t>
      </w:r>
      <w:r w:rsidRPr="0096002D">
        <w:rPr>
          <w:color w:val="404040"/>
        </w:rPr>
        <w:t> strävar GCAC efter att främja genuint samarbete samtidigt som det respekterar medlemmarnas suveränitet och mångfald.</w:t>
      </w:r>
    </w:p>
    <w:p w14:paraId="775D43C3" w14:textId="77777777" w:rsidR="0096002D" w:rsidRPr="0096002D" w:rsidRDefault="0096002D" w:rsidP="0096002D">
      <w:pPr>
        <w:pStyle w:val="NormalWeb"/>
        <w:rPr>
          <w:color w:val="404040"/>
        </w:rPr>
      </w:pPr>
      <w:r w:rsidRPr="0096002D">
        <w:rPr>
          <w:color w:val="404040"/>
        </w:rPr>
        <w:t>För att lyckas måste GCAC hantera viktiga utmaningar, inklusive att säkerställa efterlevnad, definiera kriser objektivt, säkra hållbar finansiering och hantera maktbalanser. Genom noggrann planering, fasvis implementering och brett engagemang från intressenter kan GCAC utvecklas till en trovärdig och effektiv modell för global styrning.</w:t>
      </w:r>
    </w:p>
    <w:p w14:paraId="4FFD95E3" w14:textId="77777777" w:rsidR="0096002D" w:rsidRPr="0096002D" w:rsidRDefault="0096002D" w:rsidP="0096002D">
      <w:pPr>
        <w:pStyle w:val="NormalWeb"/>
        <w:spacing w:after="0" w:afterAutospacing="0"/>
        <w:rPr>
          <w:color w:val="404040"/>
        </w:rPr>
      </w:pPr>
      <w:r w:rsidRPr="0096002D">
        <w:rPr>
          <w:color w:val="404040"/>
        </w:rPr>
        <w:t>Med sitt fokus på </w:t>
      </w:r>
      <w:r w:rsidRPr="0096002D">
        <w:rPr>
          <w:rStyle w:val="Strong"/>
          <w:rFonts w:eastAsiaTheme="majorEastAsia"/>
          <w:color w:val="404040"/>
        </w:rPr>
        <w:t>anpassningsförmåga</w:t>
      </w:r>
      <w:r w:rsidRPr="0096002D">
        <w:rPr>
          <w:color w:val="404040"/>
        </w:rPr>
        <w:t>, </w:t>
      </w:r>
      <w:r w:rsidRPr="0096002D">
        <w:rPr>
          <w:rStyle w:val="Strong"/>
          <w:rFonts w:eastAsiaTheme="majorEastAsia"/>
          <w:color w:val="404040"/>
        </w:rPr>
        <w:t>ansvarsskyldighet</w:t>
      </w:r>
      <w:r w:rsidRPr="0096002D">
        <w:rPr>
          <w:color w:val="404040"/>
        </w:rPr>
        <w:t> och </w:t>
      </w:r>
      <w:r w:rsidRPr="0096002D">
        <w:rPr>
          <w:rStyle w:val="Strong"/>
          <w:rFonts w:eastAsiaTheme="majorEastAsia"/>
          <w:color w:val="404040"/>
        </w:rPr>
        <w:t>respekt för suveränitet</w:t>
      </w:r>
      <w:r w:rsidRPr="0096002D">
        <w:rPr>
          <w:color w:val="404040"/>
        </w:rPr>
        <w:t> representerar GCAC inte bara ett alternativ till FN, utan en nödvändig utveckling av hur nationer samarbetar för att hantera gemensamma globala utmaningar.</w:t>
      </w:r>
    </w:p>
    <w:p w14:paraId="1677AC1D" w14:textId="77777777" w:rsidR="0096002D" w:rsidRDefault="0096002D"/>
    <w:sectPr w:rsidR="00960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54217"/>
    <w:multiLevelType w:val="multilevel"/>
    <w:tmpl w:val="533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054E"/>
    <w:multiLevelType w:val="multilevel"/>
    <w:tmpl w:val="580E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07865"/>
    <w:multiLevelType w:val="multilevel"/>
    <w:tmpl w:val="27D8EB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E35BD"/>
    <w:multiLevelType w:val="multilevel"/>
    <w:tmpl w:val="BDD6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D6EDE"/>
    <w:multiLevelType w:val="multilevel"/>
    <w:tmpl w:val="11FE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E1293"/>
    <w:multiLevelType w:val="multilevel"/>
    <w:tmpl w:val="9CC8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C1A4E"/>
    <w:multiLevelType w:val="multilevel"/>
    <w:tmpl w:val="9F64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72354"/>
    <w:multiLevelType w:val="multilevel"/>
    <w:tmpl w:val="F964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26AA1"/>
    <w:multiLevelType w:val="multilevel"/>
    <w:tmpl w:val="F8C41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F7E3D"/>
    <w:multiLevelType w:val="multilevel"/>
    <w:tmpl w:val="5844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D5CD6"/>
    <w:multiLevelType w:val="multilevel"/>
    <w:tmpl w:val="AFF0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001D4"/>
    <w:multiLevelType w:val="multilevel"/>
    <w:tmpl w:val="BE14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D7D77"/>
    <w:multiLevelType w:val="multilevel"/>
    <w:tmpl w:val="15D6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D6564"/>
    <w:multiLevelType w:val="multilevel"/>
    <w:tmpl w:val="F326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46144"/>
    <w:multiLevelType w:val="multilevel"/>
    <w:tmpl w:val="8474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531A2"/>
    <w:multiLevelType w:val="multilevel"/>
    <w:tmpl w:val="A5E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C25B78"/>
    <w:multiLevelType w:val="multilevel"/>
    <w:tmpl w:val="B34A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E032A1"/>
    <w:multiLevelType w:val="multilevel"/>
    <w:tmpl w:val="E9FA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FE4AE1"/>
    <w:multiLevelType w:val="multilevel"/>
    <w:tmpl w:val="9D04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D65B3E"/>
    <w:multiLevelType w:val="multilevel"/>
    <w:tmpl w:val="3E3A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F0261"/>
    <w:multiLevelType w:val="multilevel"/>
    <w:tmpl w:val="FED8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C4A95"/>
    <w:multiLevelType w:val="multilevel"/>
    <w:tmpl w:val="D814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43592"/>
    <w:multiLevelType w:val="multilevel"/>
    <w:tmpl w:val="DE04EF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3A5A3E"/>
    <w:multiLevelType w:val="multilevel"/>
    <w:tmpl w:val="918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F40528"/>
    <w:multiLevelType w:val="multilevel"/>
    <w:tmpl w:val="D9E4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690917"/>
    <w:multiLevelType w:val="multilevel"/>
    <w:tmpl w:val="DEF8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46347"/>
    <w:multiLevelType w:val="multilevel"/>
    <w:tmpl w:val="BDA8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866595"/>
    <w:multiLevelType w:val="multilevel"/>
    <w:tmpl w:val="97B0B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A0E00"/>
    <w:multiLevelType w:val="multilevel"/>
    <w:tmpl w:val="85AC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004E74"/>
    <w:multiLevelType w:val="multilevel"/>
    <w:tmpl w:val="1686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26FFC"/>
    <w:multiLevelType w:val="multilevel"/>
    <w:tmpl w:val="CF02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304EF6"/>
    <w:multiLevelType w:val="multilevel"/>
    <w:tmpl w:val="01BE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2C5062"/>
    <w:multiLevelType w:val="multilevel"/>
    <w:tmpl w:val="FAB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E870F7"/>
    <w:multiLevelType w:val="multilevel"/>
    <w:tmpl w:val="1644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914E3D"/>
    <w:multiLevelType w:val="multilevel"/>
    <w:tmpl w:val="9D9C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4C3AD3"/>
    <w:multiLevelType w:val="multilevel"/>
    <w:tmpl w:val="D938C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D478C"/>
    <w:multiLevelType w:val="multilevel"/>
    <w:tmpl w:val="2D36D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992DF0"/>
    <w:multiLevelType w:val="multilevel"/>
    <w:tmpl w:val="20D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3A566A"/>
    <w:multiLevelType w:val="multilevel"/>
    <w:tmpl w:val="EFD2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87636C"/>
    <w:multiLevelType w:val="multilevel"/>
    <w:tmpl w:val="C844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F152D9"/>
    <w:multiLevelType w:val="multilevel"/>
    <w:tmpl w:val="15E8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C179B"/>
    <w:multiLevelType w:val="multilevel"/>
    <w:tmpl w:val="72C8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092C3C"/>
    <w:multiLevelType w:val="multilevel"/>
    <w:tmpl w:val="83D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175143"/>
    <w:multiLevelType w:val="multilevel"/>
    <w:tmpl w:val="8F90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7460AF"/>
    <w:multiLevelType w:val="multilevel"/>
    <w:tmpl w:val="DEDE8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8A552B"/>
    <w:multiLevelType w:val="multilevel"/>
    <w:tmpl w:val="2EC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B21C82"/>
    <w:multiLevelType w:val="multilevel"/>
    <w:tmpl w:val="B978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73141E"/>
    <w:multiLevelType w:val="multilevel"/>
    <w:tmpl w:val="DBFA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EE7B23"/>
    <w:multiLevelType w:val="multilevel"/>
    <w:tmpl w:val="93E2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796131"/>
    <w:multiLevelType w:val="multilevel"/>
    <w:tmpl w:val="CA64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806175"/>
    <w:multiLevelType w:val="multilevel"/>
    <w:tmpl w:val="2972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96A2F5A"/>
    <w:multiLevelType w:val="multilevel"/>
    <w:tmpl w:val="A690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7B4138"/>
    <w:multiLevelType w:val="multilevel"/>
    <w:tmpl w:val="6896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765434"/>
    <w:multiLevelType w:val="multilevel"/>
    <w:tmpl w:val="4F6C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2A68B1"/>
    <w:multiLevelType w:val="multilevel"/>
    <w:tmpl w:val="48EC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161646">
    <w:abstractNumId w:val="5"/>
  </w:num>
  <w:num w:numId="2" w16cid:durableId="1377045586">
    <w:abstractNumId w:val="0"/>
  </w:num>
  <w:num w:numId="3" w16cid:durableId="325282612">
    <w:abstractNumId w:val="29"/>
  </w:num>
  <w:num w:numId="4" w16cid:durableId="71198254">
    <w:abstractNumId w:val="54"/>
  </w:num>
  <w:num w:numId="5" w16cid:durableId="1989479964">
    <w:abstractNumId w:val="25"/>
  </w:num>
  <w:num w:numId="6" w16cid:durableId="1680355470">
    <w:abstractNumId w:val="41"/>
  </w:num>
  <w:num w:numId="7" w16cid:durableId="1692098439">
    <w:abstractNumId w:val="36"/>
  </w:num>
  <w:num w:numId="8" w16cid:durableId="1195928198">
    <w:abstractNumId w:val="10"/>
  </w:num>
  <w:num w:numId="9" w16cid:durableId="1504784799">
    <w:abstractNumId w:val="50"/>
  </w:num>
  <w:num w:numId="10" w16cid:durableId="953445899">
    <w:abstractNumId w:val="44"/>
  </w:num>
  <w:num w:numId="11" w16cid:durableId="1317687749">
    <w:abstractNumId w:val="33"/>
  </w:num>
  <w:num w:numId="12" w16cid:durableId="602422234">
    <w:abstractNumId w:val="24"/>
  </w:num>
  <w:num w:numId="13" w16cid:durableId="76901717">
    <w:abstractNumId w:val="34"/>
  </w:num>
  <w:num w:numId="14" w16cid:durableId="808279334">
    <w:abstractNumId w:val="16"/>
  </w:num>
  <w:num w:numId="15" w16cid:durableId="1056126266">
    <w:abstractNumId w:val="28"/>
  </w:num>
  <w:num w:numId="16" w16cid:durableId="732387247">
    <w:abstractNumId w:val="13"/>
  </w:num>
  <w:num w:numId="17" w16cid:durableId="1183009887">
    <w:abstractNumId w:val="15"/>
  </w:num>
  <w:num w:numId="18" w16cid:durableId="442893023">
    <w:abstractNumId w:val="11"/>
  </w:num>
  <w:num w:numId="19" w16cid:durableId="169956954">
    <w:abstractNumId w:val="27"/>
  </w:num>
  <w:num w:numId="20" w16cid:durableId="761146698">
    <w:abstractNumId w:val="2"/>
  </w:num>
  <w:num w:numId="21" w16cid:durableId="912928175">
    <w:abstractNumId w:val="22"/>
  </w:num>
  <w:num w:numId="22" w16cid:durableId="1985893200">
    <w:abstractNumId w:val="9"/>
  </w:num>
  <w:num w:numId="23" w16cid:durableId="1909537412">
    <w:abstractNumId w:val="46"/>
  </w:num>
  <w:num w:numId="24" w16cid:durableId="2007975965">
    <w:abstractNumId w:val="1"/>
  </w:num>
  <w:num w:numId="25" w16cid:durableId="1648900091">
    <w:abstractNumId w:val="19"/>
  </w:num>
  <w:num w:numId="26" w16cid:durableId="321279409">
    <w:abstractNumId w:val="30"/>
  </w:num>
  <w:num w:numId="27" w16cid:durableId="1838036304">
    <w:abstractNumId w:val="20"/>
  </w:num>
  <w:num w:numId="28" w16cid:durableId="276761344">
    <w:abstractNumId w:val="42"/>
  </w:num>
  <w:num w:numId="29" w16cid:durableId="519125495">
    <w:abstractNumId w:val="17"/>
  </w:num>
  <w:num w:numId="30" w16cid:durableId="2062778032">
    <w:abstractNumId w:val="49"/>
  </w:num>
  <w:num w:numId="31" w16cid:durableId="1441338601">
    <w:abstractNumId w:val="40"/>
  </w:num>
  <w:num w:numId="32" w16cid:durableId="1580408482">
    <w:abstractNumId w:val="48"/>
  </w:num>
  <w:num w:numId="33" w16cid:durableId="257176349">
    <w:abstractNumId w:val="38"/>
  </w:num>
  <w:num w:numId="34" w16cid:durableId="1916278934">
    <w:abstractNumId w:val="8"/>
  </w:num>
  <w:num w:numId="35" w16cid:durableId="560335196">
    <w:abstractNumId w:val="53"/>
  </w:num>
  <w:num w:numId="36" w16cid:durableId="859200600">
    <w:abstractNumId w:val="26"/>
  </w:num>
  <w:num w:numId="37" w16cid:durableId="125664218">
    <w:abstractNumId w:val="39"/>
  </w:num>
  <w:num w:numId="38" w16cid:durableId="1236936630">
    <w:abstractNumId w:val="14"/>
  </w:num>
  <w:num w:numId="39" w16cid:durableId="803812272">
    <w:abstractNumId w:val="21"/>
  </w:num>
  <w:num w:numId="40" w16cid:durableId="122503262">
    <w:abstractNumId w:val="12"/>
  </w:num>
  <w:num w:numId="41" w16cid:durableId="681514352">
    <w:abstractNumId w:val="4"/>
  </w:num>
  <w:num w:numId="42" w16cid:durableId="107163603">
    <w:abstractNumId w:val="3"/>
  </w:num>
  <w:num w:numId="43" w16cid:durableId="1959988337">
    <w:abstractNumId w:val="47"/>
  </w:num>
  <w:num w:numId="44" w16cid:durableId="1745102144">
    <w:abstractNumId w:val="51"/>
  </w:num>
  <w:num w:numId="45" w16cid:durableId="1185943092">
    <w:abstractNumId w:val="23"/>
  </w:num>
  <w:num w:numId="46" w16cid:durableId="1520924956">
    <w:abstractNumId w:val="6"/>
  </w:num>
  <w:num w:numId="47" w16cid:durableId="1919553631">
    <w:abstractNumId w:val="43"/>
  </w:num>
  <w:num w:numId="48" w16cid:durableId="414665324">
    <w:abstractNumId w:val="18"/>
  </w:num>
  <w:num w:numId="49" w16cid:durableId="1162508458">
    <w:abstractNumId w:val="32"/>
  </w:num>
  <w:num w:numId="50" w16cid:durableId="312485499">
    <w:abstractNumId w:val="37"/>
  </w:num>
  <w:num w:numId="51" w16cid:durableId="139663373">
    <w:abstractNumId w:val="52"/>
  </w:num>
  <w:num w:numId="52" w16cid:durableId="393704023">
    <w:abstractNumId w:val="35"/>
  </w:num>
  <w:num w:numId="53" w16cid:durableId="1746102862">
    <w:abstractNumId w:val="31"/>
  </w:num>
  <w:num w:numId="54" w16cid:durableId="1659845502">
    <w:abstractNumId w:val="45"/>
  </w:num>
  <w:num w:numId="55" w16cid:durableId="106241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2D"/>
    <w:rsid w:val="0096002D"/>
    <w:rsid w:val="00D245C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04F2"/>
  <w15:chartTrackingRefBased/>
  <w15:docId w15:val="{5F6CCADD-52FE-654C-AB93-4D130CFE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0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0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0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0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02D"/>
    <w:rPr>
      <w:rFonts w:eastAsiaTheme="majorEastAsia" w:cstheme="majorBidi"/>
      <w:color w:val="272727" w:themeColor="text1" w:themeTint="D8"/>
    </w:rPr>
  </w:style>
  <w:style w:type="paragraph" w:styleId="Title">
    <w:name w:val="Title"/>
    <w:basedOn w:val="Normal"/>
    <w:next w:val="Normal"/>
    <w:link w:val="TitleChar"/>
    <w:uiPriority w:val="10"/>
    <w:qFormat/>
    <w:rsid w:val="00960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02D"/>
    <w:pPr>
      <w:spacing w:before="160"/>
      <w:jc w:val="center"/>
    </w:pPr>
    <w:rPr>
      <w:i/>
      <w:iCs/>
      <w:color w:val="404040" w:themeColor="text1" w:themeTint="BF"/>
    </w:rPr>
  </w:style>
  <w:style w:type="character" w:customStyle="1" w:styleId="QuoteChar">
    <w:name w:val="Quote Char"/>
    <w:basedOn w:val="DefaultParagraphFont"/>
    <w:link w:val="Quote"/>
    <w:uiPriority w:val="29"/>
    <w:rsid w:val="0096002D"/>
    <w:rPr>
      <w:i/>
      <w:iCs/>
      <w:color w:val="404040" w:themeColor="text1" w:themeTint="BF"/>
    </w:rPr>
  </w:style>
  <w:style w:type="paragraph" w:styleId="ListParagraph">
    <w:name w:val="List Paragraph"/>
    <w:basedOn w:val="Normal"/>
    <w:uiPriority w:val="34"/>
    <w:qFormat/>
    <w:rsid w:val="0096002D"/>
    <w:pPr>
      <w:ind w:left="720"/>
      <w:contextualSpacing/>
    </w:pPr>
  </w:style>
  <w:style w:type="character" w:styleId="IntenseEmphasis">
    <w:name w:val="Intense Emphasis"/>
    <w:basedOn w:val="DefaultParagraphFont"/>
    <w:uiPriority w:val="21"/>
    <w:qFormat/>
    <w:rsid w:val="0096002D"/>
    <w:rPr>
      <w:i/>
      <w:iCs/>
      <w:color w:val="0F4761" w:themeColor="accent1" w:themeShade="BF"/>
    </w:rPr>
  </w:style>
  <w:style w:type="paragraph" w:styleId="IntenseQuote">
    <w:name w:val="Intense Quote"/>
    <w:basedOn w:val="Normal"/>
    <w:next w:val="Normal"/>
    <w:link w:val="IntenseQuoteChar"/>
    <w:uiPriority w:val="30"/>
    <w:qFormat/>
    <w:rsid w:val="00960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02D"/>
    <w:rPr>
      <w:i/>
      <w:iCs/>
      <w:color w:val="0F4761" w:themeColor="accent1" w:themeShade="BF"/>
    </w:rPr>
  </w:style>
  <w:style w:type="character" w:styleId="IntenseReference">
    <w:name w:val="Intense Reference"/>
    <w:basedOn w:val="DefaultParagraphFont"/>
    <w:uiPriority w:val="32"/>
    <w:qFormat/>
    <w:rsid w:val="0096002D"/>
    <w:rPr>
      <w:b/>
      <w:bCs/>
      <w:smallCaps/>
      <w:color w:val="0F4761" w:themeColor="accent1" w:themeShade="BF"/>
      <w:spacing w:val="5"/>
    </w:rPr>
  </w:style>
  <w:style w:type="paragraph" w:styleId="NormalWeb">
    <w:name w:val="Normal (Web)"/>
    <w:basedOn w:val="Normal"/>
    <w:uiPriority w:val="99"/>
    <w:semiHidden/>
    <w:unhideWhenUsed/>
    <w:rsid w:val="0096002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96002D"/>
    <w:rPr>
      <w:i/>
      <w:iCs/>
    </w:rPr>
  </w:style>
  <w:style w:type="character" w:styleId="Strong">
    <w:name w:val="Strong"/>
    <w:basedOn w:val="DefaultParagraphFont"/>
    <w:uiPriority w:val="22"/>
    <w:qFormat/>
    <w:rsid w:val="00960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0494">
      <w:bodyDiv w:val="1"/>
      <w:marLeft w:val="0"/>
      <w:marRight w:val="0"/>
      <w:marTop w:val="0"/>
      <w:marBottom w:val="0"/>
      <w:divBdr>
        <w:top w:val="none" w:sz="0" w:space="0" w:color="auto"/>
        <w:left w:val="none" w:sz="0" w:space="0" w:color="auto"/>
        <w:bottom w:val="none" w:sz="0" w:space="0" w:color="auto"/>
        <w:right w:val="none" w:sz="0" w:space="0" w:color="auto"/>
      </w:divBdr>
    </w:div>
    <w:div w:id="1005979650">
      <w:bodyDiv w:val="1"/>
      <w:marLeft w:val="0"/>
      <w:marRight w:val="0"/>
      <w:marTop w:val="0"/>
      <w:marBottom w:val="0"/>
      <w:divBdr>
        <w:top w:val="none" w:sz="0" w:space="0" w:color="auto"/>
        <w:left w:val="none" w:sz="0" w:space="0" w:color="auto"/>
        <w:bottom w:val="none" w:sz="0" w:space="0" w:color="auto"/>
        <w:right w:val="none" w:sz="0" w:space="0" w:color="auto"/>
      </w:divBdr>
    </w:div>
    <w:div w:id="18838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2332</Words>
  <Characters>13293</Characters>
  <Application>Microsoft Office Word</Application>
  <DocSecurity>0</DocSecurity>
  <Lines>110</Lines>
  <Paragraphs>31</Paragraphs>
  <ScaleCrop>false</ScaleCrop>
  <Company/>
  <LinksUpToDate>false</LinksUpToDate>
  <CharactersWithSpaces>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1</cp:revision>
  <dcterms:created xsi:type="dcterms:W3CDTF">2025-01-12T23:41:00Z</dcterms:created>
  <dcterms:modified xsi:type="dcterms:W3CDTF">2025-01-13T11:28:00Z</dcterms:modified>
</cp:coreProperties>
</file>