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3CFFC" w14:textId="33F9CDB3" w:rsidR="00A350C1" w:rsidRPr="00A350C1" w:rsidRDefault="00A350C1" w:rsidP="00A350C1">
      <w:pPr>
        <w:pStyle w:val="NormalWeb"/>
      </w:pPr>
      <w:r w:rsidRPr="00A350C1">
        <w:rPr>
          <w:rStyle w:val="Strong"/>
          <w:rFonts w:eastAsiaTheme="majorEastAsia"/>
        </w:rPr>
        <w:t>Teknisk Färdplan: Balanserat Röstsystem för Sverige – Fullständig Expertbedömning</w:t>
      </w:r>
    </w:p>
    <w:p w14:paraId="544ECBD0" w14:textId="77777777" w:rsidR="00A350C1" w:rsidRPr="00A350C1" w:rsidRDefault="00A350C1" w:rsidP="00A350C1">
      <w:pPr>
        <w:pStyle w:val="NormalWeb"/>
      </w:pPr>
      <w:r w:rsidRPr="00A350C1">
        <w:rPr>
          <w:rStyle w:val="Strong"/>
          <w:rFonts w:eastAsiaTheme="majorEastAsia"/>
        </w:rPr>
        <w:t>Sammanfattning</w:t>
      </w:r>
    </w:p>
    <w:p w14:paraId="6DEDDF86" w14:textId="77777777" w:rsidR="00A350C1" w:rsidRPr="00A350C1" w:rsidRDefault="00A350C1" w:rsidP="00A350C1">
      <w:pPr>
        <w:pStyle w:val="NormalWeb"/>
      </w:pPr>
      <w:r w:rsidRPr="00A350C1">
        <w:t>Det Balanserade Röstsystemet (BRS) är en hybridmodell för val som integrerar enmansvalkretsar enligt principen "först förbi målet" (First-Past-the-Post, FPTP) med proportionella justeringsmekanismer för att förenas lokal ansvarighet med nationell rättvisa. Systemet är utformat för att hantera demokratiska utmaningar i Sveriges nuvarande proportionella representativa modell, däribland koalitionsinstabilitet, väljarapati och minskad tydlighet i representation. Denna färdplan presenterar en fullständig operativ, juridisk, ekonomisk och strategisk vägkarta för systemets genomförande, inklusive ytterligare insikter rörande folkbildning, intressentanalys, långsiktiga effekter och teknologisk innovation.</w:t>
      </w:r>
    </w:p>
    <w:p w14:paraId="59A50646" w14:textId="77777777" w:rsidR="00A350C1" w:rsidRPr="00A350C1" w:rsidRDefault="00A350C1" w:rsidP="00A350C1">
      <w:pPr>
        <w:pStyle w:val="NormalWeb"/>
      </w:pPr>
      <w:r w:rsidRPr="00A350C1">
        <w:rPr>
          <w:rStyle w:val="Strong"/>
          <w:rFonts w:eastAsiaTheme="majorEastAsia"/>
        </w:rPr>
        <w:t>I. Valteknisk Kontext och Motivering</w:t>
      </w:r>
    </w:p>
    <w:p w14:paraId="2AEE892B" w14:textId="77777777" w:rsidR="00A350C1" w:rsidRPr="00A350C1" w:rsidRDefault="00A350C1" w:rsidP="00A350C1">
      <w:pPr>
        <w:pStyle w:val="NormalWeb"/>
      </w:pPr>
      <w:r w:rsidRPr="00A350C1">
        <w:t>Sveriges nuvarande proportionella valsystem erbjuder bred politisk inkludering men lider av påtagliga svagheter. Koalitionsregeringar tenderar att vara instabila och kräver utdragna förhandlingar för att bildas. Väljare har svårt att identifiera sina representanter, vilket skapar främlingskap och minskad ansvarskänsla. Små partier med begränsat folkligt stöd kan erhålla oproportionerligt inflytande, vilket rubbar den politiska balansen. Många väljare upplever dessutom att deras röst inte direkt påverkar utfallen, vilket bidrar till politisk apati och minskat medborgerligt engagemang.</w:t>
      </w:r>
    </w:p>
    <w:p w14:paraId="1C10F304" w14:textId="77777777" w:rsidR="00A350C1" w:rsidRPr="00A350C1" w:rsidRDefault="00A350C1" w:rsidP="00A350C1">
      <w:pPr>
        <w:pStyle w:val="NormalWeb"/>
      </w:pPr>
      <w:r w:rsidRPr="00A350C1">
        <w:t>Det Balanserade Röstsystemet är konstruerat för att avhjälpa dessa brister. Genom att varje väljare tilldelas en namngiven representant i en enmansvalkrets stärks bandet mellan representant och väljare. Systemet bevarar nationell rättvisa genom ett begränsat antal proportionella kompensationsmandat, så kallade ”top-up seats”, vilket säkerställer att partirepresentationen motsvarar röstandelen. Det motverkar också oproportionerlig makt för småpartier och minskar behovet av ogenomsynliga koalitionsuppgörelser. Resultatet blir en starkare, mer transparent och responsiv demokratisk struktur.</w:t>
      </w:r>
    </w:p>
    <w:p w14:paraId="5147A35D" w14:textId="77777777" w:rsidR="00A350C1" w:rsidRPr="00A350C1" w:rsidRDefault="00A350C1" w:rsidP="00A350C1">
      <w:pPr>
        <w:pStyle w:val="NormalWeb"/>
      </w:pPr>
      <w:r w:rsidRPr="00A350C1">
        <w:t>Internationellt har blandade valsystem, såsom de tyska och nyzeeländska modellerna, visat sig effektiva i att kombinera stabilitet med representativitet. I jämförelse med Sveriges nuvarande system höjer BRS den lokala ansvarigheten samtidigt som en relativt hög grad av proportionalitet bevaras. Det är även enklare än andra hybrida modeller, med en enda valsedel och automatiserad proportionell justering efter avslutad röstning.</w:t>
      </w:r>
    </w:p>
    <w:p w14:paraId="4453087E" w14:textId="77777777" w:rsidR="00A350C1" w:rsidRPr="00A350C1" w:rsidRDefault="00A350C1" w:rsidP="00A350C1">
      <w:pPr>
        <w:pStyle w:val="NormalWeb"/>
      </w:pPr>
      <w:r w:rsidRPr="00A350C1">
        <w:rPr>
          <w:rStyle w:val="Strong"/>
          <w:rFonts w:eastAsiaTheme="majorEastAsia"/>
        </w:rPr>
        <w:t>II. Valteknisk Konstruktion</w:t>
      </w:r>
    </w:p>
    <w:p w14:paraId="40799E38" w14:textId="77777777" w:rsidR="00A350C1" w:rsidRPr="00A350C1" w:rsidRDefault="00A350C1" w:rsidP="00A350C1">
      <w:pPr>
        <w:pStyle w:val="NormalWeb"/>
      </w:pPr>
      <w:r w:rsidRPr="00A350C1">
        <w:t>Det Balanserade Röstsystemet fungerar genom två integrerade skikt: ett valkretsbaserat FPTP-system och en proportionell justeringsmekanism.</w:t>
      </w:r>
    </w:p>
    <w:p w14:paraId="14B79905" w14:textId="77777777" w:rsidR="00A350C1" w:rsidRPr="00A350C1" w:rsidRDefault="00A350C1" w:rsidP="00A350C1">
      <w:pPr>
        <w:pStyle w:val="NormalWeb"/>
      </w:pPr>
      <w:r w:rsidRPr="00A350C1">
        <w:t>Sverige delas in i 349 enmansvalkretsar. Varje valkrets väljer en ledamot till riksdagen genom pluralitetsval. Kandidaten med flest röster vinner, oavsett om absolut majoritet uppnås.</w:t>
      </w:r>
    </w:p>
    <w:p w14:paraId="62762404" w14:textId="77777777" w:rsidR="00A350C1" w:rsidRPr="00A350C1" w:rsidRDefault="00A350C1" w:rsidP="00A350C1">
      <w:pPr>
        <w:pStyle w:val="NormalWeb"/>
      </w:pPr>
      <w:r w:rsidRPr="00A350C1">
        <w:t>Vid lika röstetal genomförs ett omval inom 14 dagar. Om detta inte är genomförbart avgörs valet genom offentlig lottning under Valmyndighetens tillsyn.</w:t>
      </w:r>
    </w:p>
    <w:p w14:paraId="69508711" w14:textId="77777777" w:rsidR="00A350C1" w:rsidRPr="00A350C1" w:rsidRDefault="00A350C1" w:rsidP="00A350C1">
      <w:pPr>
        <w:pStyle w:val="NormalWeb"/>
      </w:pPr>
      <w:r w:rsidRPr="00A350C1">
        <w:lastRenderedPageBreak/>
        <w:t>När samtliga 349 mandat fördelats granskas partiernas totala röstandel nationellt i relation till antalet vunna mandat. Underrepresenterade partier tilldelas justeringsmandat ur en begränsad pool om 50 säten.</w:t>
      </w:r>
    </w:p>
    <w:p w14:paraId="515A7A4E" w14:textId="77777777" w:rsidR="00A350C1" w:rsidRPr="00A350C1" w:rsidRDefault="00A350C1" w:rsidP="00A350C1">
      <w:pPr>
        <w:pStyle w:val="NormalWeb"/>
      </w:pPr>
      <w:r w:rsidRPr="00A350C1">
        <w:t>Detta tak säkerställer att proportionalitet inte sker på bekostnad av riksdagens funktionsduglighet. Om full proportionalitet inte kan uppnås inom ramen för dessa 50 säten, strävar justeringen efter att minimera snedfördelningen så mycket som möjligt.</w:t>
      </w:r>
    </w:p>
    <w:p w14:paraId="1712E817" w14:textId="77777777" w:rsidR="00A350C1" w:rsidRPr="00A350C1" w:rsidRDefault="00A350C1" w:rsidP="00A350C1">
      <w:pPr>
        <w:pStyle w:val="NormalWeb"/>
      </w:pPr>
      <w:r w:rsidRPr="00A350C1">
        <w:t>För att kvalificera sig för kompensationsmandat måste ett parti antingen ha vunnit minst ett valkretsmandat eller ha erhållit minst 4 % av rösterna på nationell nivå. Detta förebygger att marginaliserade partier utnyttjar systemet, samtidigt som livskraftiga nya eller regionala partier ges möjlighet att etablera sig.</w:t>
      </w:r>
    </w:p>
    <w:p w14:paraId="4B5E8775" w14:textId="77777777" w:rsidR="00A350C1" w:rsidRPr="00A350C1" w:rsidRDefault="00A350C1" w:rsidP="00A350C1">
      <w:pPr>
        <w:pStyle w:val="NormalWeb"/>
      </w:pPr>
      <w:r w:rsidRPr="00A350C1">
        <w:t>En skyddsklausul aktiveras om ett parti uppnår majoritet i riksdagen (175+ mandat) samtidigt som det erhåller mindre än 45 % av det nationella röstunderlaget. I sådana fall påbörjas en parlamentarisk granskning, vilken kan resultera i tillfälliga mandatjusteringar eller ett obligatoriskt förtroendevotum inom sex månader.</w:t>
      </w:r>
    </w:p>
    <w:p w14:paraId="047F69D3" w14:textId="77777777" w:rsidR="00A350C1" w:rsidRPr="00A350C1" w:rsidRDefault="00A350C1" w:rsidP="00A350C1">
      <w:pPr>
        <w:pStyle w:val="NormalWeb"/>
      </w:pPr>
      <w:r w:rsidRPr="00A350C1">
        <w:rPr>
          <w:rStyle w:val="Strong"/>
          <w:rFonts w:eastAsiaTheme="majorEastAsia"/>
        </w:rPr>
        <w:t>III. Juridisk Genomförbarhet och Reformväg</w:t>
      </w:r>
    </w:p>
    <w:p w14:paraId="270B80B9" w14:textId="77777777" w:rsidR="00A350C1" w:rsidRPr="00A350C1" w:rsidRDefault="00A350C1" w:rsidP="00A350C1">
      <w:pPr>
        <w:pStyle w:val="NormalWeb"/>
      </w:pPr>
      <w:r w:rsidRPr="00A350C1">
        <w:t>Genomförandet av det Balanserade Röstsystemet kräver ändringar i centrala juridiska instrument.</w:t>
      </w:r>
    </w:p>
    <w:p w14:paraId="7F55EE1A" w14:textId="77777777" w:rsidR="00A350C1" w:rsidRPr="00A350C1" w:rsidRDefault="00A350C1" w:rsidP="00A350C1">
      <w:pPr>
        <w:pStyle w:val="NormalWeb"/>
      </w:pPr>
      <w:r w:rsidRPr="00A350C1">
        <w:t>Vallagen och Riksdagsordningen måste uppdateras för att anpassas till de nya valmekanismerna.</w:t>
      </w:r>
    </w:p>
    <w:p w14:paraId="1E9C64CB" w14:textId="77777777" w:rsidR="00A350C1" w:rsidRPr="00A350C1" w:rsidRDefault="00A350C1" w:rsidP="00A350C1">
      <w:pPr>
        <w:pStyle w:val="NormalWeb"/>
      </w:pPr>
      <w:r w:rsidRPr="00A350C1">
        <w:t>Beroende på tolkningen av gällande grundlagsbestämmelser kan ytterligare författningsändringar vara nödvändiga för att möjliggöra en tillfällig utökning av antalet riksdagsledamöter under skyddsklausulsscenarier.</w:t>
      </w:r>
    </w:p>
    <w:p w14:paraId="70D37145" w14:textId="77777777" w:rsidR="00A350C1" w:rsidRPr="00A350C1" w:rsidRDefault="00A350C1" w:rsidP="00A350C1">
      <w:pPr>
        <w:pStyle w:val="NormalWeb"/>
      </w:pPr>
      <w:r w:rsidRPr="00A350C1">
        <w:t>Juridisk konsultation bör inkludera Lagrådet, Valmyndigheten, forskare inom konstitutionell rätt samt lagstiftningstekniker.</w:t>
      </w:r>
    </w:p>
    <w:p w14:paraId="7AAD66BD" w14:textId="77777777" w:rsidR="00A350C1" w:rsidRPr="00A350C1" w:rsidRDefault="00A350C1" w:rsidP="00A350C1">
      <w:pPr>
        <w:pStyle w:val="NormalWeb"/>
      </w:pPr>
      <w:r w:rsidRPr="00A350C1">
        <w:t>Lagstiftningsförfarandet kan följa antingen ett kvalificerat majoritetsförfarande (3/4 av riksdagen i ett beslut) eller två på varandra följande beslut med enkel majoritet. Den senare vägen erbjuder en gradvis övergång med bredare demokratisk legitimitet.</w:t>
      </w:r>
    </w:p>
    <w:p w14:paraId="694B5878" w14:textId="77777777" w:rsidR="00A350C1" w:rsidRPr="00A350C1" w:rsidRDefault="00A350C1" w:rsidP="00A350C1">
      <w:pPr>
        <w:pStyle w:val="NormalWeb"/>
      </w:pPr>
      <w:r w:rsidRPr="00A350C1">
        <w:t>En juridisk övergångsram bör fastställas för att klargöra hur försöksval ska erkännas rättsligt och vilka reservbestämmelser som gäller vid eventuella tvister.</w:t>
      </w:r>
    </w:p>
    <w:p w14:paraId="0A8DDE85" w14:textId="77777777" w:rsidR="00A350C1" w:rsidRPr="00A350C1" w:rsidRDefault="00A350C1" w:rsidP="00A350C1">
      <w:pPr>
        <w:pStyle w:val="NormalWeb"/>
      </w:pPr>
      <w:r w:rsidRPr="00A350C1">
        <w:rPr>
          <w:rStyle w:val="Strong"/>
          <w:rFonts w:eastAsiaTheme="majorEastAsia"/>
        </w:rPr>
        <w:t>IV. Intressentanalys</w:t>
      </w:r>
    </w:p>
    <w:p w14:paraId="7F9E4F82" w14:textId="77777777" w:rsidR="00A350C1" w:rsidRPr="00A350C1" w:rsidRDefault="00A350C1" w:rsidP="00A350C1">
      <w:pPr>
        <w:pStyle w:val="NormalWeb"/>
      </w:pPr>
      <w:r w:rsidRPr="00A350C1">
        <w:t>Det Balanserade Röstsystemet kommer att ha betydande inverkan på olika demokratiska aktörer. Politiska partier kommer att behöva nominera kandidater med stark lokal förankring för att lyckas i enmansvalkretsarna. Deras nationella kampanjstrategier måste omformuleras för att balansera lokal närvaro med bredare budskap.</w:t>
      </w:r>
    </w:p>
    <w:p w14:paraId="775D1B18" w14:textId="77777777" w:rsidR="00A350C1" w:rsidRPr="00A350C1" w:rsidRDefault="00A350C1" w:rsidP="00A350C1">
      <w:pPr>
        <w:pStyle w:val="NormalWeb"/>
      </w:pPr>
      <w:r w:rsidRPr="00A350C1">
        <w:t>Väljarna kommer att gynnas av en tydligare förståelse för vem som representerar dem, vilket skapar starkare band till riksdagen och ökar deltagandet. Den dubbla systemstrukturen säkerställer att varje röst får både lokal och nationell genomslagskraft.</w:t>
      </w:r>
    </w:p>
    <w:p w14:paraId="49E56513" w14:textId="77777777" w:rsidR="00A350C1" w:rsidRPr="00A350C1" w:rsidRDefault="00A350C1" w:rsidP="00A350C1">
      <w:pPr>
        <w:pStyle w:val="NormalWeb"/>
      </w:pPr>
      <w:r w:rsidRPr="00A350C1">
        <w:lastRenderedPageBreak/>
        <w:t>Valmyndigheten och övriga valinstitutioner kommer att behöva övervaka en mer komplex process för räkning och mandatfördelning. Detta kräver förstärkt kapacitet och sannolikt ny teknisk infrastruktur.</w:t>
      </w:r>
    </w:p>
    <w:p w14:paraId="00635F66" w14:textId="77777777" w:rsidR="00A350C1" w:rsidRPr="00A350C1" w:rsidRDefault="00A350C1" w:rsidP="00A350C1">
      <w:pPr>
        <w:pStyle w:val="NormalWeb"/>
      </w:pPr>
      <w:r w:rsidRPr="00A350C1">
        <w:t>Civilsamhällesorganisationer kommer att spela en utökad roll i folkbildning, granskning av lokala kandidater och valövervakning, vilket främjar transparens och demokratiskt deltagande.</w:t>
      </w:r>
    </w:p>
    <w:p w14:paraId="076D6FD8" w14:textId="77777777" w:rsidR="00A350C1" w:rsidRPr="00A350C1" w:rsidRDefault="00A350C1" w:rsidP="00A350C1">
      <w:pPr>
        <w:pStyle w:val="NormalWeb"/>
      </w:pPr>
      <w:r w:rsidRPr="00A350C1">
        <w:rPr>
          <w:rStyle w:val="Strong"/>
          <w:rFonts w:eastAsiaTheme="majorEastAsia"/>
        </w:rPr>
        <w:t>V. Kostnadsanalys och Budgetering</w:t>
      </w:r>
    </w:p>
    <w:p w14:paraId="0C6861CD" w14:textId="77777777" w:rsidR="00A350C1" w:rsidRPr="00A350C1" w:rsidRDefault="00A350C1" w:rsidP="00A350C1">
      <w:pPr>
        <w:pStyle w:val="NormalWeb"/>
      </w:pPr>
      <w:r w:rsidRPr="00A350C1">
        <w:t>De ekonomiska konsekvenserna av att införa det Balanserade Röstsystemet måste hanteras genom en fasindelad planering.</w:t>
      </w:r>
    </w:p>
    <w:p w14:paraId="1B7CAF05" w14:textId="77777777" w:rsidR="00A350C1" w:rsidRPr="00A350C1" w:rsidRDefault="00A350C1" w:rsidP="00A350C1">
      <w:pPr>
        <w:pStyle w:val="NormalWeb"/>
      </w:pPr>
      <w:r w:rsidRPr="00A350C1">
        <w:rPr>
          <w:rStyle w:val="Strong"/>
          <w:rFonts w:eastAsiaTheme="majorEastAsia"/>
        </w:rPr>
        <w:t>Förberedelsefasen (År 1)</w:t>
      </w:r>
      <w:r w:rsidRPr="00A350C1">
        <w:t xml:space="preserve"> beräknas kosta mellan 50 och 70 miljoner kronor. Denna fas omfattar lagstiftningsarbete, samråd med relevanta aktörer, inrättande av kommissioner för valkretsindelning och tillsyn, samt framtagning av tekniska prototyper.</w:t>
      </w:r>
    </w:p>
    <w:p w14:paraId="1953197A" w14:textId="77777777" w:rsidR="00A350C1" w:rsidRPr="00A350C1" w:rsidRDefault="00A350C1" w:rsidP="00A350C1">
      <w:pPr>
        <w:pStyle w:val="NormalWeb"/>
      </w:pPr>
      <w:r w:rsidRPr="00A350C1">
        <w:rPr>
          <w:rStyle w:val="Strong"/>
          <w:rFonts w:eastAsiaTheme="majorEastAsia"/>
        </w:rPr>
        <w:t>Implementeringsfasen (År 2–3)</w:t>
      </w:r>
      <w:r w:rsidRPr="00A350C1">
        <w:t xml:space="preserve"> uppskattas till mellan 200 och 300 miljoner kronor. De största kostnaderna avser den praktiska omstruktureringen av valkretsar, utveckling och testning av programvara för röstsammanräkning, genomförande av nationella informationskampanjer samt utbildning av valadministrativ personal.</w:t>
      </w:r>
    </w:p>
    <w:p w14:paraId="24051BD0" w14:textId="77777777" w:rsidR="00A350C1" w:rsidRPr="00A350C1" w:rsidRDefault="00A350C1" w:rsidP="00A350C1">
      <w:pPr>
        <w:pStyle w:val="NormalWeb"/>
      </w:pPr>
      <w:r w:rsidRPr="00A350C1">
        <w:rPr>
          <w:rStyle w:val="Strong"/>
          <w:rFonts w:eastAsiaTheme="majorEastAsia"/>
        </w:rPr>
        <w:t>Försöksvalfasen (År 4–10)</w:t>
      </w:r>
      <w:r w:rsidRPr="00A350C1">
        <w:t xml:space="preserve"> förväntas uppgå till mellan 30 och 50 miljoner kronor per riksdagsval. Här inkluderas kostnader för logistik, revisioner, aktivering av skyddsklausuler samt oberoende övervakning av genomförandet.</w:t>
      </w:r>
    </w:p>
    <w:p w14:paraId="7308C0C4" w14:textId="77777777" w:rsidR="00A350C1" w:rsidRPr="00A350C1" w:rsidRDefault="00A350C1" w:rsidP="00A350C1">
      <w:pPr>
        <w:pStyle w:val="NormalWeb"/>
      </w:pPr>
      <w:r w:rsidRPr="00A350C1">
        <w:rPr>
          <w:rStyle w:val="Strong"/>
          <w:rFonts w:eastAsiaTheme="majorEastAsia"/>
        </w:rPr>
        <w:t>Utvärderings- och folkomröstningsfasen (År 10 och framåt)</w:t>
      </w:r>
      <w:r w:rsidRPr="00A350C1">
        <w:t xml:space="preserve"> bedöms kosta mellan 20 och 30 miljoner kronor. Detta täcker nationella opinionsundersökningar, konsultation med intressenter, administration av folkomröstning samt planering av slutliga justeringar.</w:t>
      </w:r>
    </w:p>
    <w:p w14:paraId="31D826F9" w14:textId="77777777" w:rsidR="00A350C1" w:rsidRPr="00A350C1" w:rsidRDefault="00A350C1" w:rsidP="00A350C1">
      <w:pPr>
        <w:pStyle w:val="NormalWeb"/>
      </w:pPr>
      <w:r w:rsidRPr="00A350C1">
        <w:t>Den totala tioårsbudgeten uppskattas till mellan 400 och 600 miljoner kronor. Systemet bedöms som kostnadseffektivt i jämförelse med de långsiktiga besparingar som kan uppnås genom minskad politisk instabilitet och effektivare regeringsbildning.</w:t>
      </w:r>
    </w:p>
    <w:p w14:paraId="01FBDA6D" w14:textId="77777777" w:rsidR="00A350C1" w:rsidRPr="00A350C1" w:rsidRDefault="00A350C1" w:rsidP="00A350C1">
      <w:pPr>
        <w:pStyle w:val="NormalWeb"/>
      </w:pPr>
      <w:r w:rsidRPr="00A350C1">
        <w:rPr>
          <w:rStyle w:val="Strong"/>
          <w:rFonts w:eastAsiaTheme="majorEastAsia"/>
        </w:rPr>
        <w:t>VI. Riskbedömningsmatris</w:t>
      </w:r>
    </w:p>
    <w:p w14:paraId="35F72738" w14:textId="77777777" w:rsidR="00A350C1" w:rsidRPr="00A350C1" w:rsidRDefault="00A350C1" w:rsidP="00A350C1">
      <w:pPr>
        <w:pStyle w:val="NormalWeb"/>
      </w:pPr>
      <w:r w:rsidRPr="00A350C1">
        <w:t>En formell riskbedömning identifierar följande huvudkategorier:</w:t>
      </w:r>
    </w:p>
    <w:p w14:paraId="65A85BD9" w14:textId="77777777" w:rsidR="00A350C1" w:rsidRPr="00A350C1" w:rsidRDefault="00A350C1" w:rsidP="00A350C1">
      <w:pPr>
        <w:pStyle w:val="NormalWeb"/>
      </w:pPr>
      <w:r w:rsidRPr="00A350C1">
        <w:t>Risken för partisk eller strategiskt motiverad valkretsindelning (gerrymandering) motverkas genom inrättandet av en oberoende, opartisk valkretskommission. Denna kommission ska arbeta enligt strikt lagstadgade kriterier och under offentlig granskning, vilket minimerar möjligheterna till missbruk.</w:t>
      </w:r>
    </w:p>
    <w:p w14:paraId="06D86FC6" w14:textId="77777777" w:rsidR="00A350C1" w:rsidRPr="00A350C1" w:rsidRDefault="00A350C1" w:rsidP="00A350C1">
      <w:pPr>
        <w:pStyle w:val="NormalWeb"/>
      </w:pPr>
      <w:r w:rsidRPr="00A350C1">
        <w:t>Tekniska fel i den digitala infrastrukturen, särskilt inom rösträkning och mandatfördelning, hanteras genom redundanta system, tydliga pappersbaserade backups och regelbundna cybersäkerhetsgranskningar. Detta ska säkerställa både valens integritet och allmänhetens förtroende.</w:t>
      </w:r>
    </w:p>
    <w:p w14:paraId="3844AD89" w14:textId="77777777" w:rsidR="00A350C1" w:rsidRPr="00A350C1" w:rsidRDefault="00A350C1" w:rsidP="00A350C1">
      <w:pPr>
        <w:pStyle w:val="NormalWeb"/>
      </w:pPr>
      <w:r w:rsidRPr="00A350C1">
        <w:lastRenderedPageBreak/>
        <w:t>Allmän förvirring och låg förståelse för det nya systemet förhindras genom en omfattande nationell folkbildningskampanj. Denna omfattar skolor, medier, civilsamhället och digitala plattformar. Målet är att höja både medvetenheten och förståelsen inför försöksvalen.</w:t>
      </w:r>
    </w:p>
    <w:p w14:paraId="3DC239DC" w14:textId="77777777" w:rsidR="00A350C1" w:rsidRPr="00A350C1" w:rsidRDefault="00A350C1" w:rsidP="00A350C1">
      <w:pPr>
        <w:pStyle w:val="NormalWeb"/>
      </w:pPr>
      <w:r w:rsidRPr="00A350C1">
        <w:t>Risk för rättsliga åtgärder eller procedurmässiga tvister begränsas genom tidig juridisk granskning, särskilt under övergångsfasen. Ett förutseende tillvägagångssätt med tydliga rättsliga ramar minimerar risken för att valresultat ifrågasätts på formella grunder.</w:t>
      </w:r>
    </w:p>
    <w:p w14:paraId="5F3285A3" w14:textId="77777777" w:rsidR="00A350C1" w:rsidRPr="00A350C1" w:rsidRDefault="00A350C1" w:rsidP="00A350C1">
      <w:pPr>
        <w:pStyle w:val="NormalWeb"/>
      </w:pPr>
      <w:r w:rsidRPr="00A350C1">
        <w:t>Spridning av desinformation och försök till manipulation bemöts genom samarbete med medietillsynsmyndigheter samt riktade insatser inom digital kompetens och källkritik. Dessa åtgärder syftar till att skydda valens legitimitet och bevara allmänhetens förtroende för processen.</w:t>
      </w:r>
    </w:p>
    <w:p w14:paraId="35A93F02" w14:textId="77777777" w:rsidR="00A350C1" w:rsidRPr="00A350C1" w:rsidRDefault="00A350C1" w:rsidP="00A350C1">
      <w:pPr>
        <w:pStyle w:val="NormalWeb"/>
      </w:pPr>
      <w:r w:rsidRPr="00A350C1">
        <w:rPr>
          <w:rStyle w:val="Strong"/>
          <w:rFonts w:eastAsiaTheme="majorEastAsia"/>
        </w:rPr>
        <w:t>VII. Digital Infrastruktur och Cybersäkerhet</w:t>
      </w:r>
    </w:p>
    <w:p w14:paraId="38E2F569" w14:textId="77777777" w:rsidR="00A350C1" w:rsidRPr="00A350C1" w:rsidRDefault="00A350C1" w:rsidP="00A350C1">
      <w:pPr>
        <w:pStyle w:val="NormalWeb"/>
      </w:pPr>
      <w:r w:rsidRPr="00A350C1">
        <w:t>Det Balanserade Röstsystemet kräver en robust, säker och skalbar digital plattform för att möjliggöra effektiv hantering av röstsammanräkning och mandatfördelning.</w:t>
      </w:r>
    </w:p>
    <w:p w14:paraId="75ED9422" w14:textId="77777777" w:rsidR="00A350C1" w:rsidRPr="00A350C1" w:rsidRDefault="00A350C1" w:rsidP="00A350C1">
      <w:pPr>
        <w:pStyle w:val="NormalWeb"/>
      </w:pPr>
      <w:r w:rsidRPr="00A350C1">
        <w:t>En central komponent är ett digitalt system för rösträkning och resultatrapportering med realtidsloggar som möjliggör fullständig spårbarhet och transparens. Samtliga händelser i systemet ska loggas och vara granskningsbara av externa parter, inklusive valobservatörer och revisionsmyndigheter.</w:t>
      </w:r>
    </w:p>
    <w:p w14:paraId="3658D822" w14:textId="77777777" w:rsidR="00A350C1" w:rsidRPr="00A350C1" w:rsidRDefault="00A350C1" w:rsidP="00A350C1">
      <w:pPr>
        <w:pStyle w:val="NormalWeb"/>
      </w:pPr>
      <w:r w:rsidRPr="00A350C1">
        <w:t>Algoritmen för proportionell justering – tilldelningen av kompensationsmandat – måste vara automatiserad, offentlig och föremål för regelbunden extern granskning. Systemets kod bör vara öppen för insyn för att säkerställa transparens och förtroende.</w:t>
      </w:r>
    </w:p>
    <w:p w14:paraId="09686CE4" w14:textId="77777777" w:rsidR="00A350C1" w:rsidRPr="00A350C1" w:rsidRDefault="00A350C1" w:rsidP="00A350C1">
      <w:pPr>
        <w:pStyle w:val="NormalWeb"/>
      </w:pPr>
      <w:r w:rsidRPr="00A350C1">
        <w:t>All dataöverföring och lagring sker med end-to-end-kryptering, i enlighet med de högsta internationella standarderna för cybersäkerhet. Datacentralerna ska vara geografiskt redundanta och skyddas av fysiska såväl som digitala säkerhetsprotokoll.</w:t>
      </w:r>
    </w:p>
    <w:p w14:paraId="062626D2" w14:textId="77777777" w:rsidR="00A350C1" w:rsidRPr="00A350C1" w:rsidRDefault="00A350C1" w:rsidP="00A350C1">
      <w:pPr>
        <w:pStyle w:val="NormalWeb"/>
      </w:pPr>
      <w:r w:rsidRPr="00A350C1">
        <w:t>Kontinuerlig övervakning av systemet genomförs av en särskild cybersäkerhetsenhet inom ramen för Valmyndighetens ansvar. Regelbundna penetrationstester, säkerhetsrevisioner och krisövningar är integrerade delar av infrastrukturen för att säkerställa beredskap vid potentiella attacker eller systemfel.</w:t>
      </w:r>
    </w:p>
    <w:p w14:paraId="42C4772D" w14:textId="77777777" w:rsidR="00A350C1" w:rsidRPr="00A350C1" w:rsidRDefault="00A350C1" w:rsidP="00A350C1">
      <w:pPr>
        <w:pStyle w:val="NormalWeb"/>
      </w:pPr>
      <w:r w:rsidRPr="00A350C1">
        <w:rPr>
          <w:rStyle w:val="Strong"/>
          <w:rFonts w:eastAsiaTheme="majorEastAsia"/>
        </w:rPr>
        <w:t>VIII. Strategi för Folkbildning</w:t>
      </w:r>
    </w:p>
    <w:p w14:paraId="061CD2F7" w14:textId="77777777" w:rsidR="00A350C1" w:rsidRPr="00A350C1" w:rsidRDefault="00A350C1" w:rsidP="00A350C1">
      <w:pPr>
        <w:pStyle w:val="NormalWeb"/>
      </w:pPr>
      <w:r w:rsidRPr="00A350C1">
        <w:t>För att säkerställa bred allmän förståelse för det nya röstsystemet krävs en målinriktad och långsiktig folkbildningsstrategi.</w:t>
      </w:r>
    </w:p>
    <w:p w14:paraId="1AD60A80" w14:textId="77777777" w:rsidR="00A350C1" w:rsidRPr="00A350C1" w:rsidRDefault="00A350C1" w:rsidP="00A350C1">
      <w:pPr>
        <w:pStyle w:val="NormalWeb"/>
      </w:pPr>
      <w:r w:rsidRPr="00A350C1">
        <w:t>En flerårig kommunikationskampanj inleds minst två år före det första försöksvalet. Denna ska utformas i samarbete med Valmyndigheten, utbildningssektorn, civilsamhället och lokala myndigheter, och omfatta såväl traditionella som digitala kanaler.</w:t>
      </w:r>
    </w:p>
    <w:p w14:paraId="205D8FE4" w14:textId="77777777" w:rsidR="00A350C1" w:rsidRPr="00A350C1" w:rsidRDefault="00A350C1" w:rsidP="00A350C1">
      <w:pPr>
        <w:pStyle w:val="NormalWeb"/>
      </w:pPr>
      <w:r w:rsidRPr="00A350C1">
        <w:t>Materialet inkluderar visuella guider, förklarande videor och översättningar till samtliga större språkgrupper som talas i Sverige. Särskilt fokus läggs vid tillgänglighet och begriplighet, med hänsyn till olika utbildningsnivåer, åldersgrupper och socioekonomiska bakgrunder.</w:t>
      </w:r>
    </w:p>
    <w:p w14:paraId="4065EAEE" w14:textId="77777777" w:rsidR="00A350C1" w:rsidRPr="00A350C1" w:rsidRDefault="00A350C1" w:rsidP="00A350C1">
      <w:pPr>
        <w:pStyle w:val="NormalWeb"/>
      </w:pPr>
      <w:r w:rsidRPr="00A350C1">
        <w:lastRenderedPageBreak/>
        <w:t>Skolväsendet spelar en nyckelroll i att implementera medborgarutbildning inom ramen för läroplanen. I samarbete med Skolverket ska särskilda undervisningsmoment utvecklas för att introducera elever till valsystemets struktur och syfte.</w:t>
      </w:r>
    </w:p>
    <w:p w14:paraId="20F282C8" w14:textId="77777777" w:rsidR="00A350C1" w:rsidRPr="00A350C1" w:rsidRDefault="00A350C1" w:rsidP="00A350C1">
      <w:pPr>
        <w:pStyle w:val="NormalWeb"/>
      </w:pPr>
      <w:r w:rsidRPr="00A350C1">
        <w:t>Regionala och lokala medier involveras aktivt genom informationssändningar, debattprogram och annonsering. Offentliga informationsmöten anordnas i kommunhus, bibliotek och medborgarcenter i hela landet.</w:t>
      </w:r>
    </w:p>
    <w:p w14:paraId="128FEFBA" w14:textId="77777777" w:rsidR="00A350C1" w:rsidRPr="00A350C1" w:rsidRDefault="00A350C1" w:rsidP="00A350C1">
      <w:pPr>
        <w:pStyle w:val="NormalWeb"/>
      </w:pPr>
      <w:r w:rsidRPr="00A350C1">
        <w:t>Kampanjens effektivitet mäts löpande genom återkommande opinionsundersökningar som kartlägger kunskapsnivå, förtroende för systemet och benägenhet att delta i val. Dessa resultat används för att anpassa innehållet under kampanjens gång.</w:t>
      </w:r>
    </w:p>
    <w:p w14:paraId="78AF6023" w14:textId="77777777" w:rsidR="00A350C1" w:rsidRPr="00A350C1" w:rsidRDefault="00A350C1" w:rsidP="00A350C1">
      <w:pPr>
        <w:pStyle w:val="NormalWeb"/>
      </w:pPr>
      <w:r w:rsidRPr="00A350C1">
        <w:rPr>
          <w:rStyle w:val="Strong"/>
          <w:rFonts w:eastAsiaTheme="majorEastAsia"/>
        </w:rPr>
        <w:t>IX. Prognoser för Väljarbeteende</w:t>
      </w:r>
    </w:p>
    <w:p w14:paraId="7B08060A" w14:textId="77777777" w:rsidR="00A350C1" w:rsidRPr="00A350C1" w:rsidRDefault="00A350C1" w:rsidP="00A350C1">
      <w:pPr>
        <w:pStyle w:val="NormalWeb"/>
      </w:pPr>
      <w:r w:rsidRPr="00A350C1">
        <w:t>Baserat på empiriska data från länder med blandade valsystem, såsom Tyskland och Nya Zeeland, kan införandet av det Balanserade Röstsystemet väntas påverka väljarbeteendet på flera signifikanta sätt.</w:t>
      </w:r>
    </w:p>
    <w:p w14:paraId="7DDC9A0D" w14:textId="77777777" w:rsidR="00A350C1" w:rsidRPr="00A350C1" w:rsidRDefault="00A350C1" w:rsidP="00A350C1">
      <w:pPr>
        <w:pStyle w:val="NormalWeb"/>
      </w:pPr>
      <w:r w:rsidRPr="00A350C1">
        <w:t>För det första förväntas valdeltagandet öka till följd av starkare band mellan väljare och deras direktvalda representant. När medborgare upplever en tydligare koppling till den politiska processen – genom att veta exakt vem som företräder deras valkrets – ökar incitamenten att delta i val.</w:t>
      </w:r>
    </w:p>
    <w:p w14:paraId="130EDEA2" w14:textId="77777777" w:rsidR="00A350C1" w:rsidRPr="00A350C1" w:rsidRDefault="00A350C1" w:rsidP="00A350C1">
      <w:pPr>
        <w:pStyle w:val="NormalWeb"/>
      </w:pPr>
      <w:r w:rsidRPr="00A350C1">
        <w:t>För det andra kan taktiskt röstande uppstå i jämna valkretsar där små marginaler avgör utgången. Väljare kan välja att stödrösta på den kandidat de bedömer ha störst chans att vinna över en oönskad motkandidat. Därför krävs utbildningsinsatser som klargör skillnaden mellan röstens lokala och nationella effekter för att förhindra missuppfattningar.</w:t>
      </w:r>
    </w:p>
    <w:p w14:paraId="3C7FB4B5" w14:textId="77777777" w:rsidR="00A350C1" w:rsidRPr="00A350C1" w:rsidRDefault="00A350C1" w:rsidP="00A350C1">
      <w:pPr>
        <w:pStyle w:val="NormalWeb"/>
      </w:pPr>
      <w:r w:rsidRPr="00A350C1">
        <w:t>Vidare kan mindre partier börja fokusera på specifika geografiska områden där de har lokal förankring och stöd. Detta kan främja en mer mångfacetterad och regionalt representativ partistruktur, vilket i sin tur ökar det politiska deltagandet i delar av landet som tidigare känt sig marginaliserade.</w:t>
      </w:r>
    </w:p>
    <w:p w14:paraId="0A446504" w14:textId="77777777" w:rsidR="00A350C1" w:rsidRPr="00A350C1" w:rsidRDefault="00A350C1" w:rsidP="00A350C1">
      <w:pPr>
        <w:pStyle w:val="NormalWeb"/>
      </w:pPr>
      <w:r w:rsidRPr="00A350C1">
        <w:t>Erfarenheter från både Tyskland och Nya Zeeland tyder även på att väljarnas tillfredsställelse ökar i blandade system. Många upplever en större känsla av rättvisa, delaktighet och tydlighet i den politiska processen. Dessa faktorer stärker i sin tur demokratins legitimitet och hållbarhet över tid.</w:t>
      </w:r>
    </w:p>
    <w:p w14:paraId="572C13CE" w14:textId="77777777" w:rsidR="00A350C1" w:rsidRPr="00A350C1" w:rsidRDefault="00A350C1" w:rsidP="00A350C1">
      <w:pPr>
        <w:pStyle w:val="NormalWeb"/>
      </w:pPr>
      <w:r w:rsidRPr="00A350C1">
        <w:rPr>
          <w:rStyle w:val="Strong"/>
          <w:rFonts w:eastAsiaTheme="majorEastAsia"/>
        </w:rPr>
        <w:t>X. Förstudie om Hybridröstning</w:t>
      </w:r>
    </w:p>
    <w:p w14:paraId="5100AA3D" w14:textId="77777777" w:rsidR="00A350C1" w:rsidRPr="00A350C1" w:rsidRDefault="00A350C1" w:rsidP="00A350C1">
      <w:pPr>
        <w:pStyle w:val="NormalWeb"/>
      </w:pPr>
      <w:r w:rsidRPr="00A350C1">
        <w:t>Införandet av hybridröstning – det vill säga möjligheten att kombinera traditionell röstning med elektronisk röstning – har potential att ytterligare förstärka tillgängligheten och effektiviteten i det Balanserade Röstsystemet.</w:t>
      </w:r>
    </w:p>
    <w:p w14:paraId="218FCF49" w14:textId="77777777" w:rsidR="00A350C1" w:rsidRPr="00A350C1" w:rsidRDefault="00A350C1" w:rsidP="00A350C1">
      <w:pPr>
        <w:pStyle w:val="NormalWeb"/>
      </w:pPr>
      <w:r w:rsidRPr="00A350C1">
        <w:t>En begränsad och kontrollerad försöksimplementering av hybridröstning rekommenderas under försöksvalen, särskilt i utvalda regioner med låg valdeltagandegrad, stor geografisk spridning eller särskilda demografiska behov. Syftet är att undersöka systemets genomförbarhet utan att kompromettera valens integritet.</w:t>
      </w:r>
    </w:p>
    <w:p w14:paraId="250FF74B" w14:textId="77777777" w:rsidR="00A350C1" w:rsidRPr="00A350C1" w:rsidRDefault="00A350C1" w:rsidP="00A350C1">
      <w:pPr>
        <w:pStyle w:val="NormalWeb"/>
      </w:pPr>
      <w:r w:rsidRPr="00A350C1">
        <w:lastRenderedPageBreak/>
        <w:t>Den tekniska infrastrukturen måste inkludera robusta metoder för digital identitetsverifiering, till exempel genom BankID eller likvärdiga certifierade lösningar. Pilotprojekt med blockchain-baserad rösträkning kan övervägas för att säkerställa transparens och skydd mot manipulation.</w:t>
      </w:r>
    </w:p>
    <w:p w14:paraId="708EAE91" w14:textId="77777777" w:rsidR="00A350C1" w:rsidRPr="00A350C1" w:rsidRDefault="00A350C1" w:rsidP="00A350C1">
      <w:pPr>
        <w:pStyle w:val="NormalWeb"/>
      </w:pPr>
      <w:r w:rsidRPr="00A350C1">
        <w:t>För att upprätthålla valhemligheten och tillförlitligheten krävs krypterad överföring, decentraliserad lagring samt fullständiga granskningsmöjligheter. All utveckling och drift av den digitala röstplattformen bör ske i nära samarbete med dataskyddsmyndigheter och oberoende säkerhetsexperter.</w:t>
      </w:r>
    </w:p>
    <w:p w14:paraId="2CCBE4F7" w14:textId="77777777" w:rsidR="00A350C1" w:rsidRPr="00A350C1" w:rsidRDefault="00A350C1" w:rsidP="00A350C1">
      <w:pPr>
        <w:pStyle w:val="NormalWeb"/>
      </w:pPr>
      <w:r w:rsidRPr="00A350C1">
        <w:t>Hybridröstning kan ha särskilt stor betydelse för väljare i utlandet, personer med funktionsnedsättning samt invånare i glesbygd. Om försöken visar positivt utfall, bör utvidgning övervägas i framtida valcykler. Allt detta måste föregås av noggrann granskning, kontinuerlig feedback från användarna och omfattande cybersäkerhetsrevisioner.</w:t>
      </w:r>
    </w:p>
    <w:p w14:paraId="247328A3" w14:textId="77777777" w:rsidR="00A350C1" w:rsidRPr="00A350C1" w:rsidRDefault="00A350C1" w:rsidP="00A350C1">
      <w:pPr>
        <w:pStyle w:val="NormalWeb"/>
      </w:pPr>
      <w:r w:rsidRPr="00A350C1">
        <w:rPr>
          <w:rStyle w:val="Strong"/>
          <w:rFonts w:eastAsiaTheme="majorEastAsia"/>
        </w:rPr>
        <w:t>XI. Övergångsplan för Politiska Partier</w:t>
      </w:r>
    </w:p>
    <w:p w14:paraId="70EAACBC" w14:textId="77777777" w:rsidR="00A350C1" w:rsidRPr="00A350C1" w:rsidRDefault="00A350C1" w:rsidP="00A350C1">
      <w:pPr>
        <w:pStyle w:val="NormalWeb"/>
      </w:pPr>
      <w:r w:rsidRPr="00A350C1">
        <w:t>För att säkerställa ett rättvist och effektivt införande av det Balanserade Röstsystemet kommer politiska partier att stödjas genom en strukturerad övergångsplan, med särskild inriktning på lokal kapacitetsuppbyggnad och strategisk anpassning.</w:t>
      </w:r>
    </w:p>
    <w:p w14:paraId="75F198FC" w14:textId="77777777" w:rsidR="00A350C1" w:rsidRPr="00A350C1" w:rsidRDefault="00A350C1" w:rsidP="00A350C1">
      <w:pPr>
        <w:pStyle w:val="NormalWeb"/>
      </w:pPr>
      <w:r w:rsidRPr="00A350C1">
        <w:t>Tekniska workshops och utbildningsinsatser ska erbjudas samtliga registrerade partier, med fokus på lokal kampanjföring, kandidatrekrytering och valkretsanalys. Dessa forum ska ge partiorganisationerna verktyg att anpassa sig till den nya strukturen, särskilt vad gäller direktkandidaturer i enmansvalkretsar där personligt förtroende och lokal förankring spelar en avgörande roll.</w:t>
      </w:r>
    </w:p>
    <w:p w14:paraId="508702F1" w14:textId="77777777" w:rsidR="00A350C1" w:rsidRPr="00A350C1" w:rsidRDefault="00A350C1" w:rsidP="00A350C1">
      <w:pPr>
        <w:pStyle w:val="NormalWeb"/>
      </w:pPr>
      <w:r w:rsidRPr="00A350C1">
        <w:t>Tidigt tillträde till demografiska data, uppdaterad valkretsindelning och röstfördelningsmodeller ska garanteras för att skapa jämlika förutsättningar för strategiutveckling. Partierna får därmed möjlighet att i god tid planera kandidaturer och mobiliseringsinsatser.</w:t>
      </w:r>
    </w:p>
    <w:p w14:paraId="6688BA14" w14:textId="77777777" w:rsidR="00A350C1" w:rsidRPr="00A350C1" w:rsidRDefault="00A350C1" w:rsidP="00A350C1">
      <w:pPr>
        <w:pStyle w:val="NormalWeb"/>
      </w:pPr>
      <w:r w:rsidRPr="00A350C1">
        <w:t>En rättvis och transparent modell för offentlig partifinansiering under övergångsfasen ska implementeras för att garantera konkurrensneutralitet mellan etablerade partier och nya aktörer. Särskilda medel kan öronmärkas för att främja deltagande från mindre och regionalt förankrade partier.</w:t>
      </w:r>
    </w:p>
    <w:p w14:paraId="26578C00" w14:textId="77777777" w:rsidR="00A350C1" w:rsidRPr="00A350C1" w:rsidRDefault="00A350C1" w:rsidP="00A350C1">
      <w:pPr>
        <w:pStyle w:val="NormalWeb"/>
      </w:pPr>
      <w:r w:rsidRPr="00A350C1">
        <w:t>Slutligen ges politiska partier representation i rådgivande organ under införandefasen, särskilt i frågor som rör valkretsdragning, teknisk systemdesign och folkbildningsstrategi. Denna medverkan stärker legitimiteten i processen och främjar bred demokratisk förankring.</w:t>
      </w:r>
    </w:p>
    <w:p w14:paraId="4A4D3E0B" w14:textId="77777777" w:rsidR="00A350C1" w:rsidRPr="00A350C1" w:rsidRDefault="00A350C1" w:rsidP="00A350C1">
      <w:pPr>
        <w:pStyle w:val="NormalWeb"/>
      </w:pPr>
      <w:r w:rsidRPr="00A350C1">
        <w:rPr>
          <w:rStyle w:val="Strong"/>
          <w:rFonts w:eastAsiaTheme="majorEastAsia"/>
        </w:rPr>
        <w:t>XII. Folkbildningsmaterial</w:t>
      </w:r>
    </w:p>
    <w:p w14:paraId="10520E3B" w14:textId="77777777" w:rsidR="00A350C1" w:rsidRPr="00A350C1" w:rsidRDefault="00A350C1" w:rsidP="00A350C1">
      <w:pPr>
        <w:pStyle w:val="NormalWeb"/>
      </w:pPr>
      <w:r w:rsidRPr="00A350C1">
        <w:t>Ett omfattande och lättillgängligt folkbildningspaket är avgörande för att förklara hur det Balanserade Röstsystemet fungerar i praktiken och för att vägleda väljare inför valdagen.</w:t>
      </w:r>
    </w:p>
    <w:p w14:paraId="36F8A5EE" w14:textId="77777777" w:rsidR="00A350C1" w:rsidRPr="00A350C1" w:rsidRDefault="00A350C1" w:rsidP="00A350C1">
      <w:pPr>
        <w:pStyle w:val="NormalWeb"/>
      </w:pPr>
      <w:r w:rsidRPr="00A350C1">
        <w:t>Materialet ska innehålla exempelvalsedlar som illustrerar hur rösten registreras i båda systemets skikt – både för den enskilda valkretskandidaten och för det proportionella partivalet. Dessa exempel ska utformas med tydlig grafisk layout och finnas tillgängliga i tryckt såväl som digitalt format.</w:t>
      </w:r>
    </w:p>
    <w:p w14:paraId="7C0273A6" w14:textId="77777777" w:rsidR="00A350C1" w:rsidRPr="00A350C1" w:rsidRDefault="00A350C1" w:rsidP="00A350C1">
      <w:pPr>
        <w:pStyle w:val="NormalWeb"/>
      </w:pPr>
      <w:r w:rsidRPr="00A350C1">
        <w:lastRenderedPageBreak/>
        <w:t>Instruktionsvideor i steg-för-steg-format kommer att visa hur röstsammanräkning sker, inklusive den efterföljande proportionella justeringen. Dessa videor ska produceras med professionell pedagogik och finnas översatta till de vanligaste språken i Sverige.</w:t>
      </w:r>
    </w:p>
    <w:p w14:paraId="051B9F7E" w14:textId="77777777" w:rsidR="00A350C1" w:rsidRPr="00A350C1" w:rsidRDefault="00A350C1" w:rsidP="00A350C1">
      <w:pPr>
        <w:pStyle w:val="NormalWeb"/>
      </w:pPr>
      <w:r w:rsidRPr="00A350C1">
        <w:t>Informationsblad med titeln “Din Lokala Riksdagsledamot” kommer att skräddarsys för varje valkrets. Dessa broschyrer ger en översikt över valkandidaterna i området samt hur väljarens röst påverkar det nationella utfallet.</w:t>
      </w:r>
    </w:p>
    <w:p w14:paraId="0FC265BD" w14:textId="77777777" w:rsidR="00A350C1" w:rsidRPr="00A350C1" w:rsidRDefault="00A350C1" w:rsidP="00A350C1">
      <w:pPr>
        <w:pStyle w:val="NormalWeb"/>
      </w:pPr>
      <w:r w:rsidRPr="00A350C1">
        <w:t>Utöver detta ska webbaserade verktyg utvecklas som tillåter väljare att simulera valresultat baserat på hypotetiska röstandelar. Dessa simuleringar ger ökad förståelse för systemets dynamik och stärker känslan av delaktighet.</w:t>
      </w:r>
    </w:p>
    <w:p w14:paraId="2FC5C9A5" w14:textId="77777777" w:rsidR="00A350C1" w:rsidRPr="00A350C1" w:rsidRDefault="00A350C1" w:rsidP="00A350C1">
      <w:pPr>
        <w:pStyle w:val="NormalWeb"/>
      </w:pPr>
      <w:r w:rsidRPr="00A350C1">
        <w:t>Allt material ska testas i fokusgrupper innan bred lansering, med särskild uppmärksamhet på att undvika missförstånd, främja tydlighet och bygga upp förtroende för systemets funktionalitet.</w:t>
      </w:r>
    </w:p>
    <w:p w14:paraId="6BEC8F2D" w14:textId="77777777" w:rsidR="00A350C1" w:rsidRPr="00A350C1" w:rsidRDefault="00A350C1" w:rsidP="00A350C1">
      <w:pPr>
        <w:pStyle w:val="NormalWeb"/>
      </w:pPr>
      <w:r w:rsidRPr="00A350C1">
        <w:rPr>
          <w:rStyle w:val="Strong"/>
          <w:rFonts w:eastAsiaTheme="majorEastAsia"/>
        </w:rPr>
        <w:t>XIII. Beredskapsplanering för Försöksval</w:t>
      </w:r>
    </w:p>
    <w:p w14:paraId="6D3D953A" w14:textId="77777777" w:rsidR="00A350C1" w:rsidRPr="00A350C1" w:rsidRDefault="00A350C1" w:rsidP="00A350C1">
      <w:pPr>
        <w:pStyle w:val="NormalWeb"/>
      </w:pPr>
      <w:r w:rsidRPr="00A350C1">
        <w:t>För att säkerställa att försöksval inom ramen för det Balanserade Röstsystemet genomförs med hög legitimitet och anpassningsförmåga, införs ett integrerat ramverk för återkoppling och justering under genomförandefasen.</w:t>
      </w:r>
    </w:p>
    <w:p w14:paraId="6E92B0DA" w14:textId="77777777" w:rsidR="00A350C1" w:rsidRPr="00A350C1" w:rsidRDefault="00A350C1" w:rsidP="00A350C1">
      <w:pPr>
        <w:pStyle w:val="NormalWeb"/>
      </w:pPr>
      <w:r w:rsidRPr="00A350C1">
        <w:t>Om det visar sig att väljarnas förståelse för systemet ligger under uppsatta tröskelvärden, aktiveras en utvidgad informations- och utbildningskampanj. Denna omfattar riktade insatser i lågkunniga områden, med särskilt anpassade material och ökad närvaro från Valmyndigheten och civilsamhället.</w:t>
      </w:r>
    </w:p>
    <w:p w14:paraId="0C9792DC" w14:textId="77777777" w:rsidR="00A350C1" w:rsidRPr="00A350C1" w:rsidRDefault="00A350C1" w:rsidP="00A350C1">
      <w:pPr>
        <w:pStyle w:val="NormalWeb"/>
      </w:pPr>
      <w:r w:rsidRPr="00A350C1">
        <w:t>Skulle den proportionella snedfördelningen överskrida acceptabla gränsvärden – exempelvis enligt ett definierat maxindex för förvrängning mellan röstandel och mandatfördelning – kan ett tillfälligt utökat antal justeringsmandat införas under försöksperioden. Dessa extraordinära åtgärder kräver godkännande från en särskild valöversynsnämnd.</w:t>
      </w:r>
    </w:p>
    <w:p w14:paraId="2DE9B88C" w14:textId="77777777" w:rsidR="00A350C1" w:rsidRPr="00A350C1" w:rsidRDefault="00A350C1" w:rsidP="00A350C1">
      <w:pPr>
        <w:pStyle w:val="NormalWeb"/>
      </w:pPr>
      <w:r w:rsidRPr="00A350C1">
        <w:t>Vid tekniska eller juridiska misslyckanden, exempelvis fel i mandatberäkning eller giltighetstvister, införs ett nödförfarande med omedelbar aktivering av tillsynsfunktioner och offentliga utfrågningar. Valmyndigheten ges utökade befogenheter att tillfälligt frysa eller justera processer i enlighet med rättssäkerhetsprinciper.</w:t>
      </w:r>
    </w:p>
    <w:p w14:paraId="7A59964B" w14:textId="77777777" w:rsidR="00A350C1" w:rsidRPr="00A350C1" w:rsidRDefault="00A350C1" w:rsidP="00A350C1">
      <w:pPr>
        <w:pStyle w:val="NormalWeb"/>
      </w:pPr>
      <w:r w:rsidRPr="00A350C1">
        <w:t>Den fristående Valöversynsnämnden ges mandat att vid behov avbryta vidare expansion av försöksvalet till fler valcykler eller valkretsar, tills strukturella korrigeringar vidtagits. Nämnden agerar utifrån fastställda indikatorer, expertutlåtanden och allmän återkoppling.</w:t>
      </w:r>
    </w:p>
    <w:p w14:paraId="7D9DB5A4" w14:textId="77777777" w:rsidR="00A350C1" w:rsidRPr="00A350C1" w:rsidRDefault="00A350C1" w:rsidP="00A350C1">
      <w:pPr>
        <w:pStyle w:val="NormalWeb"/>
      </w:pPr>
      <w:r w:rsidRPr="00A350C1">
        <w:rPr>
          <w:rStyle w:val="Strong"/>
          <w:rFonts w:eastAsiaTheme="majorEastAsia"/>
        </w:rPr>
        <w:t>XIV. Långsiktig Effektanalys</w:t>
      </w:r>
    </w:p>
    <w:p w14:paraId="264E4AD1" w14:textId="77777777" w:rsidR="00A350C1" w:rsidRPr="00A350C1" w:rsidRDefault="00A350C1" w:rsidP="00A350C1">
      <w:pPr>
        <w:pStyle w:val="NormalWeb"/>
      </w:pPr>
      <w:r w:rsidRPr="00A350C1">
        <w:t>Det Balanserade Röstsystemets förväntade långsiktiga effekter sträcker sig bortom teknisk valreform – det syftar till en gradvis men djupgående utveckling av Sveriges demokratiska landskap.</w:t>
      </w:r>
    </w:p>
    <w:p w14:paraId="2498FF88" w14:textId="77777777" w:rsidR="00A350C1" w:rsidRPr="00A350C1" w:rsidRDefault="00A350C1" w:rsidP="00A350C1">
      <w:pPr>
        <w:pStyle w:val="NormalWeb"/>
      </w:pPr>
      <w:r w:rsidRPr="00A350C1">
        <w:t xml:space="preserve">En av de mest framträdande effekterna förväntas vara uppkomsten av ett mer regionalt förankrat partisystem. När partier tvingas engagera sig direkt i enmansvalkretsar kommer </w:t>
      </w:r>
      <w:r w:rsidRPr="00A350C1">
        <w:lastRenderedPageBreak/>
        <w:t>kandidaturer med lokal närvaro och profil att premieras. Detta kan på sikt förnya partistrukturerna, minska centralstyrningens dominans och främja lokal representation.</w:t>
      </w:r>
    </w:p>
    <w:p w14:paraId="1C8FC273" w14:textId="77777777" w:rsidR="00A350C1" w:rsidRPr="00A350C1" w:rsidRDefault="00A350C1" w:rsidP="00A350C1">
      <w:pPr>
        <w:pStyle w:val="NormalWeb"/>
      </w:pPr>
      <w:r w:rsidRPr="00A350C1">
        <w:t>Tiden för regeringsbildning beräknas minska markant. Med färre partier i balansposition, tydligare valresultat och färre ogenomskinliga koalitionsförhandlingar, skapas förutsättningar för snabbare och mer stabilt maktövertagande.</w:t>
      </w:r>
    </w:p>
    <w:p w14:paraId="5223788A" w14:textId="77777777" w:rsidR="00A350C1" w:rsidRPr="00A350C1" w:rsidRDefault="00A350C1" w:rsidP="00A350C1">
      <w:pPr>
        <w:pStyle w:val="NormalWeb"/>
      </w:pPr>
      <w:r w:rsidRPr="00A350C1">
        <w:t>Medborgarnas förtroende för det politiska systemet kan förväntas öka som ett resultat av ökad transparens, klarare mandat och starkare personlig representation. Detta i sin tur motverkar politisk polarisering och ökar legitimiteten i den parlamentariska processen.</w:t>
      </w:r>
    </w:p>
    <w:p w14:paraId="35D419E7" w14:textId="77777777" w:rsidR="00A350C1" w:rsidRPr="00A350C1" w:rsidRDefault="00A350C1" w:rsidP="00A350C1">
      <w:pPr>
        <w:pStyle w:val="NormalWeb"/>
      </w:pPr>
      <w:r w:rsidRPr="00A350C1">
        <w:t>Regeringar och riksdagens arbete kommer sannolikt att bli mer lyhört för lokala behov. När riksdagsledamöter står i direkt förbindelse med sin valkrets minskar incitamenten att bortse från regionala frågor. Nationell politik förankras därmed djupare i verkligheten utanför storstäderna.</w:t>
      </w:r>
    </w:p>
    <w:p w14:paraId="24F28F9B" w14:textId="77777777" w:rsidR="00A350C1" w:rsidRPr="00A350C1" w:rsidRDefault="00A350C1" w:rsidP="00A350C1">
      <w:pPr>
        <w:pStyle w:val="NormalWeb"/>
      </w:pPr>
      <w:r w:rsidRPr="00A350C1">
        <w:t>Som referensramar används erfarenheter från Tyskland och Nya Zeeland, där man observerat motsvarande tendenser. Analysen kommer dock att justeras utifrån svensk politisk och kulturell kontext, för att bevara relevans och realitet i reformens effektmätning.</w:t>
      </w:r>
    </w:p>
    <w:p w14:paraId="70305DF1" w14:textId="77777777" w:rsidR="00A350C1" w:rsidRPr="00A350C1" w:rsidRDefault="00A350C1" w:rsidP="00A350C1">
      <w:pPr>
        <w:pStyle w:val="NormalWeb"/>
      </w:pPr>
      <w:r w:rsidRPr="00A350C1">
        <w:rPr>
          <w:rStyle w:val="Strong"/>
          <w:rFonts w:eastAsiaTheme="majorEastAsia"/>
        </w:rPr>
        <w:t>XV. Utvärderingsram Efter Försöksperiod</w:t>
      </w:r>
    </w:p>
    <w:p w14:paraId="0A90D380" w14:textId="77777777" w:rsidR="00A350C1" w:rsidRPr="00A350C1" w:rsidRDefault="00A350C1" w:rsidP="00A350C1">
      <w:pPr>
        <w:pStyle w:val="NormalWeb"/>
      </w:pPr>
      <w:r w:rsidRPr="00A350C1">
        <w:t>Vid avslutningen av försöksperioden, vilken omfattar tre genomförda riksdagsval under det Balanserade Röstsystemet, ska en omfattande och transparent utvärdering genomföras för att bedöma reformens framgång, brister och framtidsutsikter.</w:t>
      </w:r>
    </w:p>
    <w:p w14:paraId="710E8D05" w14:textId="77777777" w:rsidR="00A350C1" w:rsidRPr="00A350C1" w:rsidRDefault="00A350C1" w:rsidP="00A350C1">
      <w:pPr>
        <w:pStyle w:val="NormalWeb"/>
      </w:pPr>
      <w:r w:rsidRPr="00A350C1">
        <w:t>Framgångsindikatorer kommer att inkludera faktorer som valdeltagande, graden av proportionalitet (t.ex. genom att tillämpa Gallagher-index med målnivå under 6), tiden för regeringsbildning efter val samt kvalitativ och kvantitativ data från väljarenkäter och fokusgrupper. Dessa data syftar till att ge en heltäckande bild av både praktisk funktionalitet och medborgarnas upplevelse.</w:t>
      </w:r>
    </w:p>
    <w:p w14:paraId="5644E982" w14:textId="77777777" w:rsidR="00A350C1" w:rsidRPr="00A350C1" w:rsidRDefault="00A350C1" w:rsidP="00A350C1">
      <w:pPr>
        <w:pStyle w:val="NormalWeb"/>
      </w:pPr>
      <w:r w:rsidRPr="00A350C1">
        <w:t>Ett nationellt rådgivande organ med representanter från Valmyndigheten, universitet, civilsamhället och de politiska partierna ska ha ansvar för att sammanställa slutsatser, identifiera förbättringsområden och föreslå eventuella justeringar inför en permanent övergång eller avveckling.</w:t>
      </w:r>
    </w:p>
    <w:p w14:paraId="2CBF0143" w14:textId="77777777" w:rsidR="00A350C1" w:rsidRPr="00A350C1" w:rsidRDefault="00A350C1" w:rsidP="00A350C1">
      <w:pPr>
        <w:pStyle w:val="NormalWeb"/>
      </w:pPr>
      <w:r w:rsidRPr="00A350C1">
        <w:t>Slutgiltigt beslut om systemets framtid ska överlämnas till väljarna genom en nationell folkomröstning, där alternativen innefattar att permanent behålla systemet, revidera det enligt föreslagna förbättringar eller återgå till tidigare valmodell. Folkomröstningen genomförs enligt de procedurer som fastställs i vallagen och föregås av en offentlig informationskampanj.</w:t>
      </w:r>
    </w:p>
    <w:p w14:paraId="36A0236F" w14:textId="77777777" w:rsidR="00A350C1" w:rsidRPr="00A350C1" w:rsidRDefault="00A350C1" w:rsidP="00A350C1">
      <w:pPr>
        <w:pStyle w:val="NormalWeb"/>
      </w:pPr>
      <w:r w:rsidRPr="00A350C1">
        <w:t>Oberoende akademiska analyser och civila utvärderingar ska publiceras i sin helhet. Dessa rapporter integreras i det slutliga beslutsunderlaget, för att garantera att beslutet om systemets framtid vilar på fakta, forskning och folkvilja.</w:t>
      </w:r>
    </w:p>
    <w:p w14:paraId="0638A310" w14:textId="77777777" w:rsidR="00A350C1" w:rsidRPr="00A350C1" w:rsidRDefault="00A350C1" w:rsidP="00A350C1">
      <w:pPr>
        <w:pStyle w:val="NormalWeb"/>
      </w:pPr>
      <w:r w:rsidRPr="00A350C1">
        <w:rPr>
          <w:rStyle w:val="Strong"/>
          <w:rFonts w:eastAsiaTheme="majorEastAsia"/>
        </w:rPr>
        <w:t>Slutsats</w:t>
      </w:r>
    </w:p>
    <w:p w14:paraId="45D44546" w14:textId="77777777" w:rsidR="00A350C1" w:rsidRPr="00A350C1" w:rsidRDefault="00A350C1" w:rsidP="00A350C1">
      <w:pPr>
        <w:pStyle w:val="NormalWeb"/>
      </w:pPr>
      <w:r w:rsidRPr="00A350C1">
        <w:lastRenderedPageBreak/>
        <w:t>Det Balanserade Röstsystemet utgör en helhetsreform för valförfarandet i Sverige, utformad för att stärka demokratin genom att förena lokal representation med nationell rättvisa, institutionell integritet, medborgarförtroende och långsiktig demokratisk utveckling.</w:t>
      </w:r>
    </w:p>
    <w:p w14:paraId="7B726B90" w14:textId="77777777" w:rsidR="00A350C1" w:rsidRPr="00A350C1" w:rsidRDefault="00A350C1" w:rsidP="00A350C1">
      <w:pPr>
        <w:pStyle w:val="NormalWeb"/>
      </w:pPr>
      <w:r w:rsidRPr="00A350C1">
        <w:t>Genom att introducera ett dubbelspårigt system – med direktvalda representanter i valkretsar och proportionella justeringsmandat för att spegla det nationella väljarstödet – adresserar modellen flera av de centrala brister som kännetecknar det nuvarande proportionella systemet: otydlig ansvarsfördelning, koalitionsinstabilitet och minskad politisk delaktighet.</w:t>
      </w:r>
    </w:p>
    <w:p w14:paraId="6F956B0C" w14:textId="77777777" w:rsidR="00A350C1" w:rsidRPr="00A350C1" w:rsidRDefault="00A350C1" w:rsidP="00A350C1">
      <w:pPr>
        <w:pStyle w:val="NormalWeb"/>
      </w:pPr>
      <w:r w:rsidRPr="00A350C1">
        <w:t>Den föreslagna reformen har ett klart juridiskt genomförandeprogram, inkluderar intressentdialog på alla nivåer, förankras i beprövade internationella modeller, och åtföljs av starka tekniska och pedagogiska stödmekanismer. Den erbjuder en konkret, realiserbar och samtidigt ambitiös väg framåt för att modernisera Sveriges valdemokrati.</w:t>
      </w:r>
    </w:p>
    <w:p w14:paraId="52388F3D" w14:textId="77777777" w:rsidR="00A350C1" w:rsidRPr="00A350C1" w:rsidRDefault="00A350C1" w:rsidP="00A350C1">
      <w:pPr>
        <w:pStyle w:val="NormalWeb"/>
      </w:pPr>
      <w:r w:rsidRPr="00A350C1">
        <w:t>Om det svenska folket, genom en transparent och inkluderande försöksperiod, bekräftar förtroendet för modellen, står landet redo att bli en förebild för framtidens representativa styrelseskick – där varje röst både hörs och räknas, lokalt och nationellt.</w:t>
      </w:r>
    </w:p>
    <w:p w14:paraId="5EDBF5F1" w14:textId="77777777" w:rsidR="00A350C1" w:rsidRPr="00A350C1" w:rsidRDefault="00A350C1" w:rsidP="00A350C1">
      <w:pPr>
        <w:pStyle w:val="NormalWeb"/>
      </w:pPr>
      <w:r w:rsidRPr="00A350C1">
        <w:rPr>
          <w:rStyle w:val="Strong"/>
          <w:rFonts w:eastAsiaTheme="majorEastAsia"/>
        </w:rPr>
        <w:t>Framtaget för:</w:t>
      </w:r>
      <w:r w:rsidRPr="00A350C1">
        <w:br/>
        <w:t>Valmyndigheten, Konstitutionsutskottet, Justitiedepartementet, Riksdagen, civilsamhällets aktörer samt internationella valobservatörer.</w:t>
      </w:r>
    </w:p>
    <w:p w14:paraId="5688EE7B" w14:textId="77777777" w:rsidR="00A350C1" w:rsidRDefault="00A350C1"/>
    <w:sectPr w:rsidR="00A35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1"/>
    <w:rsid w:val="00A31D74"/>
    <w:rsid w:val="00A350C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A9E1"/>
  <w15:chartTrackingRefBased/>
  <w15:docId w15:val="{F8D18D0B-5B59-A94C-B875-13D8BD6C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0C1"/>
    <w:rPr>
      <w:rFonts w:eastAsiaTheme="majorEastAsia" w:cstheme="majorBidi"/>
      <w:color w:val="272727" w:themeColor="text1" w:themeTint="D8"/>
    </w:rPr>
  </w:style>
  <w:style w:type="paragraph" w:styleId="Title">
    <w:name w:val="Title"/>
    <w:basedOn w:val="Normal"/>
    <w:next w:val="Normal"/>
    <w:link w:val="TitleChar"/>
    <w:uiPriority w:val="10"/>
    <w:qFormat/>
    <w:rsid w:val="00A35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0C1"/>
    <w:pPr>
      <w:spacing w:before="160"/>
      <w:jc w:val="center"/>
    </w:pPr>
    <w:rPr>
      <w:i/>
      <w:iCs/>
      <w:color w:val="404040" w:themeColor="text1" w:themeTint="BF"/>
    </w:rPr>
  </w:style>
  <w:style w:type="character" w:customStyle="1" w:styleId="QuoteChar">
    <w:name w:val="Quote Char"/>
    <w:basedOn w:val="DefaultParagraphFont"/>
    <w:link w:val="Quote"/>
    <w:uiPriority w:val="29"/>
    <w:rsid w:val="00A350C1"/>
    <w:rPr>
      <w:i/>
      <w:iCs/>
      <w:color w:val="404040" w:themeColor="text1" w:themeTint="BF"/>
    </w:rPr>
  </w:style>
  <w:style w:type="paragraph" w:styleId="ListParagraph">
    <w:name w:val="List Paragraph"/>
    <w:basedOn w:val="Normal"/>
    <w:uiPriority w:val="34"/>
    <w:qFormat/>
    <w:rsid w:val="00A350C1"/>
    <w:pPr>
      <w:ind w:left="720"/>
      <w:contextualSpacing/>
    </w:pPr>
  </w:style>
  <w:style w:type="character" w:styleId="IntenseEmphasis">
    <w:name w:val="Intense Emphasis"/>
    <w:basedOn w:val="DefaultParagraphFont"/>
    <w:uiPriority w:val="21"/>
    <w:qFormat/>
    <w:rsid w:val="00A350C1"/>
    <w:rPr>
      <w:i/>
      <w:iCs/>
      <w:color w:val="0F4761" w:themeColor="accent1" w:themeShade="BF"/>
    </w:rPr>
  </w:style>
  <w:style w:type="paragraph" w:styleId="IntenseQuote">
    <w:name w:val="Intense Quote"/>
    <w:basedOn w:val="Normal"/>
    <w:next w:val="Normal"/>
    <w:link w:val="IntenseQuoteChar"/>
    <w:uiPriority w:val="30"/>
    <w:qFormat/>
    <w:rsid w:val="00A35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0C1"/>
    <w:rPr>
      <w:i/>
      <w:iCs/>
      <w:color w:val="0F4761" w:themeColor="accent1" w:themeShade="BF"/>
    </w:rPr>
  </w:style>
  <w:style w:type="character" w:styleId="IntenseReference">
    <w:name w:val="Intense Reference"/>
    <w:basedOn w:val="DefaultParagraphFont"/>
    <w:uiPriority w:val="32"/>
    <w:qFormat/>
    <w:rsid w:val="00A350C1"/>
    <w:rPr>
      <w:b/>
      <w:bCs/>
      <w:smallCaps/>
      <w:color w:val="0F4761" w:themeColor="accent1" w:themeShade="BF"/>
      <w:spacing w:val="5"/>
    </w:rPr>
  </w:style>
  <w:style w:type="paragraph" w:styleId="NormalWeb">
    <w:name w:val="Normal (Web)"/>
    <w:basedOn w:val="Normal"/>
    <w:uiPriority w:val="99"/>
    <w:semiHidden/>
    <w:unhideWhenUsed/>
    <w:rsid w:val="00A350C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35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0881">
      <w:bodyDiv w:val="1"/>
      <w:marLeft w:val="0"/>
      <w:marRight w:val="0"/>
      <w:marTop w:val="0"/>
      <w:marBottom w:val="0"/>
      <w:divBdr>
        <w:top w:val="none" w:sz="0" w:space="0" w:color="auto"/>
        <w:left w:val="none" w:sz="0" w:space="0" w:color="auto"/>
        <w:bottom w:val="none" w:sz="0" w:space="0" w:color="auto"/>
        <w:right w:val="none" w:sz="0" w:space="0" w:color="auto"/>
      </w:divBdr>
    </w:div>
    <w:div w:id="294221181">
      <w:bodyDiv w:val="1"/>
      <w:marLeft w:val="0"/>
      <w:marRight w:val="0"/>
      <w:marTop w:val="0"/>
      <w:marBottom w:val="0"/>
      <w:divBdr>
        <w:top w:val="none" w:sz="0" w:space="0" w:color="auto"/>
        <w:left w:val="none" w:sz="0" w:space="0" w:color="auto"/>
        <w:bottom w:val="none" w:sz="0" w:space="0" w:color="auto"/>
        <w:right w:val="none" w:sz="0" w:space="0" w:color="auto"/>
      </w:divBdr>
    </w:div>
    <w:div w:id="417747609">
      <w:bodyDiv w:val="1"/>
      <w:marLeft w:val="0"/>
      <w:marRight w:val="0"/>
      <w:marTop w:val="0"/>
      <w:marBottom w:val="0"/>
      <w:divBdr>
        <w:top w:val="none" w:sz="0" w:space="0" w:color="auto"/>
        <w:left w:val="none" w:sz="0" w:space="0" w:color="auto"/>
        <w:bottom w:val="none" w:sz="0" w:space="0" w:color="auto"/>
        <w:right w:val="none" w:sz="0" w:space="0" w:color="auto"/>
      </w:divBdr>
    </w:div>
    <w:div w:id="491335982">
      <w:bodyDiv w:val="1"/>
      <w:marLeft w:val="0"/>
      <w:marRight w:val="0"/>
      <w:marTop w:val="0"/>
      <w:marBottom w:val="0"/>
      <w:divBdr>
        <w:top w:val="none" w:sz="0" w:space="0" w:color="auto"/>
        <w:left w:val="none" w:sz="0" w:space="0" w:color="auto"/>
        <w:bottom w:val="none" w:sz="0" w:space="0" w:color="auto"/>
        <w:right w:val="none" w:sz="0" w:space="0" w:color="auto"/>
      </w:divBdr>
    </w:div>
    <w:div w:id="721293710">
      <w:bodyDiv w:val="1"/>
      <w:marLeft w:val="0"/>
      <w:marRight w:val="0"/>
      <w:marTop w:val="0"/>
      <w:marBottom w:val="0"/>
      <w:divBdr>
        <w:top w:val="none" w:sz="0" w:space="0" w:color="auto"/>
        <w:left w:val="none" w:sz="0" w:space="0" w:color="auto"/>
        <w:bottom w:val="none" w:sz="0" w:space="0" w:color="auto"/>
        <w:right w:val="none" w:sz="0" w:space="0" w:color="auto"/>
      </w:divBdr>
    </w:div>
    <w:div w:id="911701824">
      <w:bodyDiv w:val="1"/>
      <w:marLeft w:val="0"/>
      <w:marRight w:val="0"/>
      <w:marTop w:val="0"/>
      <w:marBottom w:val="0"/>
      <w:divBdr>
        <w:top w:val="none" w:sz="0" w:space="0" w:color="auto"/>
        <w:left w:val="none" w:sz="0" w:space="0" w:color="auto"/>
        <w:bottom w:val="none" w:sz="0" w:space="0" w:color="auto"/>
        <w:right w:val="none" w:sz="0" w:space="0" w:color="auto"/>
      </w:divBdr>
    </w:div>
    <w:div w:id="1047875780">
      <w:bodyDiv w:val="1"/>
      <w:marLeft w:val="0"/>
      <w:marRight w:val="0"/>
      <w:marTop w:val="0"/>
      <w:marBottom w:val="0"/>
      <w:divBdr>
        <w:top w:val="none" w:sz="0" w:space="0" w:color="auto"/>
        <w:left w:val="none" w:sz="0" w:space="0" w:color="auto"/>
        <w:bottom w:val="none" w:sz="0" w:space="0" w:color="auto"/>
        <w:right w:val="none" w:sz="0" w:space="0" w:color="auto"/>
      </w:divBdr>
    </w:div>
    <w:div w:id="1074737668">
      <w:bodyDiv w:val="1"/>
      <w:marLeft w:val="0"/>
      <w:marRight w:val="0"/>
      <w:marTop w:val="0"/>
      <w:marBottom w:val="0"/>
      <w:divBdr>
        <w:top w:val="none" w:sz="0" w:space="0" w:color="auto"/>
        <w:left w:val="none" w:sz="0" w:space="0" w:color="auto"/>
        <w:bottom w:val="none" w:sz="0" w:space="0" w:color="auto"/>
        <w:right w:val="none" w:sz="0" w:space="0" w:color="auto"/>
      </w:divBdr>
    </w:div>
    <w:div w:id="1159881475">
      <w:bodyDiv w:val="1"/>
      <w:marLeft w:val="0"/>
      <w:marRight w:val="0"/>
      <w:marTop w:val="0"/>
      <w:marBottom w:val="0"/>
      <w:divBdr>
        <w:top w:val="none" w:sz="0" w:space="0" w:color="auto"/>
        <w:left w:val="none" w:sz="0" w:space="0" w:color="auto"/>
        <w:bottom w:val="none" w:sz="0" w:space="0" w:color="auto"/>
        <w:right w:val="none" w:sz="0" w:space="0" w:color="auto"/>
      </w:divBdr>
    </w:div>
    <w:div w:id="1472090777">
      <w:bodyDiv w:val="1"/>
      <w:marLeft w:val="0"/>
      <w:marRight w:val="0"/>
      <w:marTop w:val="0"/>
      <w:marBottom w:val="0"/>
      <w:divBdr>
        <w:top w:val="none" w:sz="0" w:space="0" w:color="auto"/>
        <w:left w:val="none" w:sz="0" w:space="0" w:color="auto"/>
        <w:bottom w:val="none" w:sz="0" w:space="0" w:color="auto"/>
        <w:right w:val="none" w:sz="0" w:space="0" w:color="auto"/>
      </w:divBdr>
    </w:div>
    <w:div w:id="1546016486">
      <w:bodyDiv w:val="1"/>
      <w:marLeft w:val="0"/>
      <w:marRight w:val="0"/>
      <w:marTop w:val="0"/>
      <w:marBottom w:val="0"/>
      <w:divBdr>
        <w:top w:val="none" w:sz="0" w:space="0" w:color="auto"/>
        <w:left w:val="none" w:sz="0" w:space="0" w:color="auto"/>
        <w:bottom w:val="none" w:sz="0" w:space="0" w:color="auto"/>
        <w:right w:val="none" w:sz="0" w:space="0" w:color="auto"/>
      </w:divBdr>
    </w:div>
    <w:div w:id="1608348908">
      <w:bodyDiv w:val="1"/>
      <w:marLeft w:val="0"/>
      <w:marRight w:val="0"/>
      <w:marTop w:val="0"/>
      <w:marBottom w:val="0"/>
      <w:divBdr>
        <w:top w:val="none" w:sz="0" w:space="0" w:color="auto"/>
        <w:left w:val="none" w:sz="0" w:space="0" w:color="auto"/>
        <w:bottom w:val="none" w:sz="0" w:space="0" w:color="auto"/>
        <w:right w:val="none" w:sz="0" w:space="0" w:color="auto"/>
      </w:divBdr>
    </w:div>
    <w:div w:id="17062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3507</Words>
  <Characters>19996</Characters>
  <Application>Microsoft Office Word</Application>
  <DocSecurity>0</DocSecurity>
  <Lines>166</Lines>
  <Paragraphs>46</Paragraphs>
  <ScaleCrop>false</ScaleCrop>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1</cp:revision>
  <dcterms:created xsi:type="dcterms:W3CDTF">2025-03-22T23:20:00Z</dcterms:created>
  <dcterms:modified xsi:type="dcterms:W3CDTF">2025-03-22T23:23:00Z</dcterms:modified>
</cp:coreProperties>
</file>